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AB" w:rsidRDefault="007C40AB" w:rsidP="007C40AB">
      <w:pPr>
        <w:autoSpaceDE w:val="0"/>
        <w:autoSpaceDN w:val="0"/>
        <w:adjustRightInd w:val="0"/>
        <w:spacing w:line="240" w:lineRule="auto"/>
        <w:jc w:val="center"/>
        <w:rPr>
          <w:rFonts w:ascii="CIDFont+F3" w:hAnsi="CIDFont+F3" w:cs="CIDFont+F3"/>
          <w:b/>
          <w:color w:val="000000"/>
          <w:sz w:val="21"/>
          <w:szCs w:val="21"/>
        </w:rPr>
      </w:pPr>
    </w:p>
    <w:p w:rsidR="007C40AB" w:rsidRDefault="007C40AB" w:rsidP="007C40AB">
      <w:pPr>
        <w:autoSpaceDE w:val="0"/>
        <w:autoSpaceDN w:val="0"/>
        <w:adjustRightInd w:val="0"/>
        <w:spacing w:line="240" w:lineRule="auto"/>
        <w:jc w:val="center"/>
        <w:rPr>
          <w:rFonts w:ascii="CIDFont+F3" w:hAnsi="CIDFont+F3" w:cs="CIDFont+F3"/>
          <w:b/>
          <w:color w:val="000000"/>
          <w:sz w:val="21"/>
          <w:szCs w:val="21"/>
        </w:rPr>
      </w:pPr>
    </w:p>
    <w:p w:rsidR="007C40AB" w:rsidRDefault="007C40AB" w:rsidP="007C40AB">
      <w:pPr>
        <w:autoSpaceDE w:val="0"/>
        <w:autoSpaceDN w:val="0"/>
        <w:adjustRightInd w:val="0"/>
        <w:spacing w:line="240" w:lineRule="auto"/>
        <w:jc w:val="center"/>
        <w:rPr>
          <w:rFonts w:ascii="CIDFont+F3" w:hAnsi="CIDFont+F3" w:cs="CIDFont+F3"/>
          <w:b/>
          <w:color w:val="000000"/>
          <w:sz w:val="21"/>
          <w:szCs w:val="21"/>
        </w:rPr>
      </w:pPr>
    </w:p>
    <w:p w:rsidR="007C40AB" w:rsidRPr="007C40AB" w:rsidRDefault="007C40AB" w:rsidP="007C40AB">
      <w:pPr>
        <w:autoSpaceDE w:val="0"/>
        <w:autoSpaceDN w:val="0"/>
        <w:adjustRightInd w:val="0"/>
        <w:spacing w:line="240" w:lineRule="auto"/>
        <w:jc w:val="center"/>
        <w:rPr>
          <w:rFonts w:ascii="CIDFont+F3" w:hAnsi="CIDFont+F3" w:cs="CIDFont+F3"/>
          <w:b/>
          <w:color w:val="000000"/>
          <w:sz w:val="21"/>
          <w:szCs w:val="21"/>
        </w:rPr>
      </w:pPr>
      <w:r w:rsidRPr="007C40AB">
        <w:rPr>
          <w:rFonts w:ascii="CIDFont+F3" w:hAnsi="CIDFont+F3" w:cs="CIDFont+F3"/>
          <w:b/>
          <w:color w:val="000000"/>
          <w:sz w:val="21"/>
          <w:szCs w:val="21"/>
        </w:rPr>
        <w:t>SMJERNICE</w:t>
      </w:r>
    </w:p>
    <w:p w:rsidR="007C40AB" w:rsidRPr="007C40AB" w:rsidRDefault="007C40AB" w:rsidP="007C40AB">
      <w:pPr>
        <w:autoSpaceDE w:val="0"/>
        <w:autoSpaceDN w:val="0"/>
        <w:adjustRightInd w:val="0"/>
        <w:spacing w:line="240" w:lineRule="auto"/>
        <w:jc w:val="center"/>
        <w:rPr>
          <w:rFonts w:ascii="CIDFont+F3" w:hAnsi="CIDFont+F3" w:cs="CIDFont+F3"/>
          <w:b/>
          <w:color w:val="000000"/>
          <w:sz w:val="21"/>
          <w:szCs w:val="21"/>
        </w:rPr>
      </w:pPr>
      <w:r w:rsidRPr="007C40AB">
        <w:rPr>
          <w:rFonts w:ascii="CIDFont+F3" w:hAnsi="CIDFont+F3" w:cs="CIDFont+F3"/>
          <w:b/>
          <w:color w:val="000000"/>
          <w:sz w:val="21"/>
          <w:szCs w:val="21"/>
        </w:rPr>
        <w:t>ZA SPRJEČAVANJE KORUPCIJE</w:t>
      </w:r>
    </w:p>
    <w:p w:rsidR="007C40AB" w:rsidRDefault="007C40AB" w:rsidP="007C40AB">
      <w:pPr>
        <w:spacing w:line="240" w:lineRule="auto"/>
        <w:ind w:right="-1"/>
        <w:contextualSpacing/>
        <w:jc w:val="center"/>
        <w:rPr>
          <w:rFonts w:ascii="Century Gothic" w:hAnsi="Century Gothic"/>
          <w:sz w:val="20"/>
          <w:szCs w:val="20"/>
          <w:lang w:val="hr-HR"/>
        </w:rPr>
      </w:pPr>
    </w:p>
    <w:p w:rsidR="007C40AB" w:rsidRDefault="007C40AB" w:rsidP="007C40AB">
      <w:pPr>
        <w:spacing w:line="240" w:lineRule="auto"/>
        <w:ind w:right="-1"/>
        <w:contextualSpacing/>
        <w:rPr>
          <w:rFonts w:ascii="Century Gothic" w:hAnsi="Century Gothic"/>
          <w:sz w:val="20"/>
          <w:szCs w:val="20"/>
          <w:lang w:val="hr-HR"/>
        </w:rPr>
      </w:pPr>
    </w:p>
    <w:p w:rsidR="007C40AB" w:rsidRDefault="007C40AB" w:rsidP="007C40AB">
      <w:pPr>
        <w:spacing w:line="240" w:lineRule="auto"/>
        <w:ind w:right="-1"/>
        <w:contextualSpacing/>
        <w:rPr>
          <w:rFonts w:ascii="Century Gothic" w:hAnsi="Century Gothic"/>
          <w:sz w:val="20"/>
          <w:szCs w:val="20"/>
          <w:lang w:val="hr-HR"/>
        </w:rPr>
      </w:pPr>
    </w:p>
    <w:p w:rsidR="007C40AB" w:rsidRPr="007C40AB" w:rsidRDefault="007C40AB" w:rsidP="007C40AB">
      <w:pPr>
        <w:spacing w:line="240" w:lineRule="auto"/>
        <w:ind w:right="-1"/>
        <w:contextualSpacing/>
        <w:rPr>
          <w:rFonts w:ascii="Century Gothic" w:hAnsi="Century Gothic"/>
          <w:sz w:val="20"/>
          <w:szCs w:val="20"/>
          <w:lang w:val="hr-HR"/>
        </w:rPr>
      </w:pPr>
      <w:r w:rsidRPr="007C40AB">
        <w:rPr>
          <w:rFonts w:ascii="Century Gothic" w:hAnsi="Century Gothic"/>
          <w:sz w:val="20"/>
          <w:szCs w:val="20"/>
          <w:lang w:val="hr-HR"/>
        </w:rPr>
        <w:t>Intesa Sanpaolo Banka d.d. Bosna i Hercegovina (dalje u tekstu: Banka) posvećena je borbi protiv korupcije u svim njenim oblicima, kad se korupcija odnosi na nuđenje ili prihvaćanje, direktno ili indirektno, novca ili nekih drugih pogodnosti s ciljem uticaja na primatelja, u svrhu poticaja ili nagrade za izvršenje ili funkcije/aktivnosti ili njihovo ne provođenje. Naprijed navedeno stoga obuhvaća i “aktivnu korupciju” (nuđenje) i “pasivnu korupciju” (prihvaćanje), i slučajeve koji obuhvaćaju javna tijela (“javna korupcija”), te također odnose između privatnih osoba (“privatna korupcija”), neovisno o tome je li korupcija usmjerena obavljanju djela koje predstavlja povredu službenih dužnosti pojedinca (“direktna korupcija”) ili je riječ o korupciji koja ima za cilj provedbu djela putem nečijeg položaja (“indirektna korupcija”), bilo da se radi o “prethodnoj korupciji” ili onoj koja “slijedi” nakon obavljanja službenih dužnosti.</w:t>
      </w:r>
    </w:p>
    <w:p w:rsidR="007C40AB" w:rsidRPr="007C40AB" w:rsidRDefault="007C40AB" w:rsidP="007C40AB">
      <w:pPr>
        <w:spacing w:line="240" w:lineRule="auto"/>
        <w:ind w:right="-1"/>
        <w:contextualSpacing/>
        <w:rPr>
          <w:rFonts w:ascii="Century Gothic" w:hAnsi="Century Gothic"/>
          <w:sz w:val="20"/>
          <w:szCs w:val="20"/>
          <w:lang w:val="hr-HR"/>
        </w:rPr>
      </w:pPr>
    </w:p>
    <w:p w:rsidR="007C40AB" w:rsidRPr="007C40AB" w:rsidRDefault="007C40AB" w:rsidP="007C40AB">
      <w:pPr>
        <w:spacing w:line="240" w:lineRule="auto"/>
        <w:ind w:right="-1"/>
        <w:contextualSpacing/>
        <w:rPr>
          <w:rFonts w:ascii="Century Gothic" w:hAnsi="Century Gothic"/>
          <w:sz w:val="20"/>
          <w:szCs w:val="20"/>
          <w:lang w:val="hr-HR"/>
        </w:rPr>
      </w:pPr>
      <w:r w:rsidRPr="007C40AB">
        <w:rPr>
          <w:rFonts w:ascii="Century Gothic" w:hAnsi="Century Gothic"/>
          <w:sz w:val="20"/>
          <w:szCs w:val="20"/>
          <w:lang w:val="hr-HR"/>
        </w:rPr>
        <w:t>Ovim Smjernicama se:</w:t>
      </w:r>
    </w:p>
    <w:p w:rsidR="007C40AB" w:rsidRPr="007C40AB" w:rsidRDefault="007C40AB" w:rsidP="007C40AB">
      <w:pPr>
        <w:spacing w:line="240" w:lineRule="auto"/>
        <w:ind w:right="-1"/>
        <w:contextualSpacing/>
        <w:rPr>
          <w:rFonts w:ascii="Century Gothic" w:hAnsi="Century Gothic"/>
          <w:sz w:val="20"/>
          <w:szCs w:val="20"/>
          <w:lang w:val="hr-HR"/>
        </w:rPr>
      </w:pPr>
    </w:p>
    <w:p w:rsidR="007C40AB" w:rsidRPr="007C40AB" w:rsidRDefault="007C40AB" w:rsidP="007C40AB">
      <w:pPr>
        <w:pStyle w:val="ListParagraph"/>
        <w:numPr>
          <w:ilvl w:val="0"/>
          <w:numId w:val="1"/>
        </w:numPr>
        <w:spacing w:line="240" w:lineRule="auto"/>
        <w:ind w:right="-1"/>
        <w:rPr>
          <w:rFonts w:ascii="Century Gothic" w:hAnsi="Century Gothic"/>
          <w:sz w:val="20"/>
          <w:szCs w:val="20"/>
          <w:lang w:val="hr-HR"/>
        </w:rPr>
      </w:pPr>
      <w:r w:rsidRPr="007C40AB">
        <w:rPr>
          <w:rFonts w:ascii="Century Gothic" w:hAnsi="Century Gothic"/>
          <w:sz w:val="20"/>
          <w:szCs w:val="20"/>
          <w:lang w:val="hr-HR"/>
        </w:rPr>
        <w:t>utvrđuju načela i osjetljiva područja te definiraju uloge, odgovornosti i makro procesi upravljanja rizikom korupcije od strane Banke u okviru njenih vlastitih poslovnih aktivnosti u kontekstu aktivne saradnje Banke u borbi protiv korupcije, a u cilju zaštite integriteta, reputacije, te očuvanja ugleda među ključnim sudionicima;</w:t>
      </w:r>
    </w:p>
    <w:p w:rsidR="007C40AB" w:rsidRPr="007C40AB" w:rsidRDefault="007C40AB" w:rsidP="007C40AB">
      <w:pPr>
        <w:numPr>
          <w:ilvl w:val="0"/>
          <w:numId w:val="1"/>
        </w:numPr>
        <w:spacing w:line="240" w:lineRule="auto"/>
        <w:ind w:right="-1"/>
        <w:contextualSpacing/>
        <w:rPr>
          <w:rFonts w:ascii="Century Gothic" w:hAnsi="Century Gothic"/>
          <w:sz w:val="20"/>
          <w:szCs w:val="20"/>
          <w:lang w:val="hr-HR"/>
        </w:rPr>
      </w:pPr>
      <w:r w:rsidRPr="007C40AB">
        <w:rPr>
          <w:rFonts w:ascii="Century Gothic" w:hAnsi="Century Gothic"/>
          <w:sz w:val="20"/>
          <w:szCs w:val="20"/>
          <w:lang w:val="hr-HR"/>
        </w:rPr>
        <w:t>prati poslovanje u kojem Banka sudjeluje kao izvršitelj uputa od strane klijenata, koristeći sistem kontrole rizika pranja novca i finansiranja terorizma;</w:t>
      </w:r>
    </w:p>
    <w:p w:rsidR="007C40AB" w:rsidRPr="007C40AB" w:rsidRDefault="007C40AB" w:rsidP="007C40AB">
      <w:pPr>
        <w:numPr>
          <w:ilvl w:val="0"/>
          <w:numId w:val="1"/>
        </w:numPr>
        <w:autoSpaceDE w:val="0"/>
        <w:autoSpaceDN w:val="0"/>
        <w:adjustRightInd w:val="0"/>
        <w:spacing w:line="240" w:lineRule="auto"/>
        <w:ind w:right="-1"/>
        <w:rPr>
          <w:rFonts w:ascii="Century Gothic" w:hAnsi="Century Gothic"/>
          <w:sz w:val="20"/>
          <w:szCs w:val="20"/>
          <w:lang w:val="hr-HR" w:eastAsia="hr-HR"/>
        </w:rPr>
      </w:pPr>
      <w:r w:rsidRPr="007C40AB">
        <w:rPr>
          <w:rFonts w:ascii="Century Gothic" w:hAnsi="Century Gothic"/>
          <w:sz w:val="20"/>
          <w:szCs w:val="20"/>
          <w:lang w:val="hr-HR" w:eastAsia="hr-HR"/>
        </w:rPr>
        <w:t>pružaju opće informacije svim zaposlenicima Banke o mjerama koje Banka preduzima radi prepoznavanja i smanjivanja rizika korupcije i upravljanja njima.</w:t>
      </w:r>
    </w:p>
    <w:p w:rsidR="007C40AB" w:rsidRPr="007C40AB" w:rsidRDefault="007C40AB" w:rsidP="007C40AB">
      <w:pPr>
        <w:pStyle w:val="ListParagraph"/>
        <w:spacing w:line="240" w:lineRule="auto"/>
        <w:ind w:left="906" w:right="-1"/>
        <w:rPr>
          <w:rFonts w:ascii="Century Gothic" w:hAnsi="Century Gothic"/>
          <w:sz w:val="20"/>
          <w:szCs w:val="20"/>
          <w:lang w:val="hr-HR"/>
        </w:rPr>
      </w:pPr>
    </w:p>
    <w:p w:rsidR="007C40AB" w:rsidRPr="007C40AB" w:rsidRDefault="007C40AB" w:rsidP="007C40AB">
      <w:pPr>
        <w:pStyle w:val="Style24"/>
        <w:widowControl/>
        <w:spacing w:before="38" w:line="240" w:lineRule="auto"/>
        <w:ind w:right="-1"/>
        <w:rPr>
          <w:rStyle w:val="FontStyle45"/>
          <w:rFonts w:ascii="Century Gothic" w:hAnsi="Century Gothic" w:cs="Arial"/>
          <w:sz w:val="20"/>
          <w:szCs w:val="20"/>
          <w:lang w:eastAsia="en-US"/>
        </w:rPr>
      </w:pPr>
      <w:r w:rsidRPr="007C40AB">
        <w:rPr>
          <w:rStyle w:val="FontStyle45"/>
          <w:rFonts w:ascii="Century Gothic" w:hAnsi="Century Gothic" w:cs="Arial"/>
          <w:sz w:val="20"/>
          <w:szCs w:val="20"/>
          <w:lang w:eastAsia="en-US"/>
        </w:rPr>
        <w:t>Od svih rukovoditelja i zaposlenika Banke očekuje se strogo pridržavanje i postupanja u skladu sa ovim Smjernicama, kao i sa svim internim pravilima i zakonima koji su povezani i imaju za cilj sprječavanje korupcije.</w:t>
      </w:r>
    </w:p>
    <w:p w:rsidR="007C40AB" w:rsidRPr="007C40AB" w:rsidRDefault="007C40AB" w:rsidP="007C40AB">
      <w:pPr>
        <w:spacing w:line="240" w:lineRule="auto"/>
        <w:ind w:right="-1"/>
        <w:contextualSpacing/>
        <w:rPr>
          <w:rFonts w:ascii="Century Gothic" w:hAnsi="Century Gothic"/>
          <w:sz w:val="20"/>
          <w:szCs w:val="20"/>
          <w:lang w:val="hr-HR"/>
        </w:rPr>
      </w:pPr>
    </w:p>
    <w:p w:rsidR="007C40AB" w:rsidRPr="007C40AB" w:rsidRDefault="007C40AB" w:rsidP="007C40AB">
      <w:pPr>
        <w:spacing w:line="240" w:lineRule="auto"/>
        <w:ind w:right="-1"/>
        <w:contextualSpacing/>
        <w:rPr>
          <w:rFonts w:ascii="Century Gothic" w:hAnsi="Century Gothic"/>
          <w:sz w:val="20"/>
          <w:szCs w:val="20"/>
          <w:lang w:val="hr-HR"/>
        </w:rPr>
      </w:pPr>
      <w:r w:rsidRPr="007C40AB">
        <w:rPr>
          <w:rFonts w:ascii="Century Gothic" w:hAnsi="Century Gothic"/>
          <w:sz w:val="20"/>
          <w:szCs w:val="20"/>
          <w:lang w:val="hr-HR"/>
        </w:rPr>
        <w:t>Vanjski saradnici (dobavljači, agenti, posrednici, konsultanti, stručnjaci, poslovni partneri i slično) koji pomažu Banci prilikom obavljanja njenih aktivnosti (dalje u tekstu: “treće strane”), također su dužni poštovati načela utvrđena ovim Smjernica.</w:t>
      </w:r>
    </w:p>
    <w:p w:rsidR="007C40AB" w:rsidRPr="007C40AB" w:rsidRDefault="007C40AB" w:rsidP="007C40AB">
      <w:pPr>
        <w:spacing w:line="240" w:lineRule="auto"/>
        <w:ind w:right="-1"/>
        <w:contextualSpacing/>
        <w:rPr>
          <w:rFonts w:ascii="Century Gothic" w:hAnsi="Century Gothic"/>
          <w:sz w:val="20"/>
          <w:szCs w:val="20"/>
          <w:lang w:val="hr-HR"/>
        </w:rPr>
      </w:pPr>
    </w:p>
    <w:p w:rsidR="007C40AB" w:rsidRPr="007C40AB" w:rsidRDefault="007C40AB" w:rsidP="007C40AB">
      <w:pPr>
        <w:pStyle w:val="Heading1"/>
      </w:pPr>
      <w:bookmarkStart w:id="0" w:name="_Toc487117870"/>
      <w:bookmarkStart w:id="1" w:name="_Toc518643262"/>
      <w:bookmarkStart w:id="2" w:name="_Toc21961398"/>
      <w:r w:rsidRPr="007C40AB">
        <w:t>REGULATORNI OKVIR</w:t>
      </w:r>
      <w:bookmarkEnd w:id="0"/>
      <w:bookmarkEnd w:id="1"/>
      <w:bookmarkEnd w:id="2"/>
    </w:p>
    <w:p w:rsidR="007C40AB" w:rsidRPr="007C40AB" w:rsidRDefault="007C40AB" w:rsidP="007C40AB">
      <w:pPr>
        <w:ind w:right="-1"/>
        <w:rPr>
          <w:rFonts w:ascii="Century Gothic" w:hAnsi="Century Gothic"/>
          <w:sz w:val="20"/>
          <w:szCs w:val="20"/>
          <w:lang w:val="hr-HR"/>
        </w:rPr>
      </w:pPr>
    </w:p>
    <w:p w:rsidR="007C40AB" w:rsidRPr="007C40AB" w:rsidRDefault="007C40AB" w:rsidP="007C40AB">
      <w:pPr>
        <w:pStyle w:val="Style24"/>
        <w:widowControl/>
        <w:spacing w:before="34" w:line="240" w:lineRule="auto"/>
        <w:ind w:right="-1"/>
        <w:rPr>
          <w:rStyle w:val="FontStyle45"/>
          <w:rFonts w:ascii="Century Gothic" w:hAnsi="Century Gothic" w:cs="Arial"/>
          <w:sz w:val="20"/>
          <w:szCs w:val="20"/>
          <w:lang w:eastAsia="en-US"/>
        </w:rPr>
      </w:pPr>
      <w:r w:rsidRPr="007C40AB">
        <w:rPr>
          <w:rStyle w:val="FontStyle45"/>
          <w:rFonts w:ascii="Century Gothic" w:hAnsi="Century Gothic" w:cs="Arial"/>
          <w:sz w:val="20"/>
          <w:szCs w:val="20"/>
          <w:lang w:eastAsia="en-US"/>
        </w:rPr>
        <w:t>Spriječavanje korupcije na svim nivoima ključ je uspješne antikorupcijske politike. U borbi protiv korupcije Banka slijedi osnovna načela sadržana u:</w:t>
      </w:r>
    </w:p>
    <w:p w:rsidR="007C40AB" w:rsidRPr="007C40AB" w:rsidRDefault="007C40AB" w:rsidP="007C40AB">
      <w:pPr>
        <w:pStyle w:val="Style24"/>
        <w:widowControl/>
        <w:numPr>
          <w:ilvl w:val="0"/>
          <w:numId w:val="3"/>
        </w:numPr>
        <w:spacing w:before="120" w:line="240" w:lineRule="auto"/>
        <w:ind w:right="-1"/>
        <w:rPr>
          <w:rStyle w:val="FontStyle45"/>
          <w:rFonts w:ascii="Century Gothic" w:hAnsi="Century Gothic" w:cs="Arial"/>
          <w:sz w:val="20"/>
          <w:szCs w:val="20"/>
          <w:lang w:eastAsia="en-US"/>
        </w:rPr>
      </w:pPr>
      <w:r w:rsidRPr="007C40AB">
        <w:rPr>
          <w:rStyle w:val="FontStyle45"/>
          <w:rFonts w:ascii="Century Gothic" w:hAnsi="Century Gothic" w:cs="Arial"/>
          <w:sz w:val="20"/>
          <w:szCs w:val="20"/>
          <w:lang w:eastAsia="en-US"/>
        </w:rPr>
        <w:t>zakonskoj regulativi Bosne i Hercegovine;</w:t>
      </w:r>
    </w:p>
    <w:p w:rsidR="007C40AB" w:rsidRPr="007C40AB" w:rsidRDefault="007C40AB" w:rsidP="007C40AB">
      <w:pPr>
        <w:pStyle w:val="Style24"/>
        <w:widowControl/>
        <w:numPr>
          <w:ilvl w:val="0"/>
          <w:numId w:val="3"/>
        </w:numPr>
        <w:spacing w:before="34" w:line="240" w:lineRule="auto"/>
        <w:ind w:right="-1"/>
        <w:rPr>
          <w:rStyle w:val="FontStyle45"/>
          <w:rFonts w:ascii="Century Gothic" w:hAnsi="Century Gothic" w:cs="Arial"/>
          <w:sz w:val="20"/>
          <w:szCs w:val="20"/>
          <w:lang w:eastAsia="en-US"/>
        </w:rPr>
      </w:pPr>
      <w:r w:rsidRPr="007C40AB">
        <w:rPr>
          <w:rStyle w:val="FontStyle45"/>
          <w:rFonts w:ascii="Century Gothic" w:hAnsi="Century Gothic" w:cs="Arial"/>
          <w:sz w:val="20"/>
          <w:szCs w:val="20"/>
          <w:lang w:eastAsia="en-US"/>
        </w:rPr>
        <w:t xml:space="preserve">međunarodnim konvencijama, koje je ratifikovala Bosne i Hercegovina; </w:t>
      </w:r>
    </w:p>
    <w:p w:rsidR="007C40AB" w:rsidRPr="007C40AB" w:rsidRDefault="007C40AB" w:rsidP="007C40AB">
      <w:pPr>
        <w:pStyle w:val="Style24"/>
        <w:widowControl/>
        <w:numPr>
          <w:ilvl w:val="0"/>
          <w:numId w:val="3"/>
        </w:numPr>
        <w:spacing w:before="34" w:line="240" w:lineRule="auto"/>
        <w:ind w:right="-1"/>
        <w:rPr>
          <w:rStyle w:val="FontStyle45"/>
          <w:rFonts w:ascii="Century Gothic" w:hAnsi="Century Gothic" w:cs="Arial"/>
          <w:sz w:val="20"/>
          <w:szCs w:val="20"/>
          <w:lang w:eastAsia="en-US"/>
        </w:rPr>
      </w:pPr>
      <w:r w:rsidRPr="007C40AB">
        <w:rPr>
          <w:rStyle w:val="FontStyle45"/>
          <w:rFonts w:ascii="Century Gothic" w:hAnsi="Century Gothic" w:cs="Arial"/>
          <w:sz w:val="20"/>
          <w:szCs w:val="20"/>
          <w:lang w:eastAsia="en-US"/>
        </w:rPr>
        <w:t>smjernicama matične banke.</w:t>
      </w:r>
    </w:p>
    <w:p w:rsidR="007C40AB" w:rsidRPr="007C40AB" w:rsidRDefault="007C40AB" w:rsidP="007C40AB">
      <w:pPr>
        <w:pStyle w:val="Heading2"/>
      </w:pPr>
    </w:p>
    <w:p w:rsidR="007C40AB" w:rsidRPr="007C40AB" w:rsidRDefault="007C40AB" w:rsidP="007C40AB">
      <w:pPr>
        <w:pStyle w:val="Heading2"/>
      </w:pPr>
      <w:bookmarkStart w:id="3" w:name="_Toc518643263"/>
      <w:bookmarkStart w:id="4" w:name="_Toc21961399"/>
      <w:r w:rsidRPr="007C40AB">
        <w:t>STRANI PROPISI</w:t>
      </w:r>
      <w:bookmarkEnd w:id="3"/>
      <w:bookmarkEnd w:id="4"/>
    </w:p>
    <w:p w:rsidR="007C40AB" w:rsidRPr="007C40AB" w:rsidRDefault="007C40AB" w:rsidP="007C40AB">
      <w:pPr>
        <w:spacing w:line="240" w:lineRule="auto"/>
        <w:ind w:right="-1"/>
        <w:contextualSpacing/>
        <w:rPr>
          <w:rFonts w:ascii="Century Gothic" w:hAnsi="Century Gothic"/>
          <w:sz w:val="20"/>
          <w:szCs w:val="20"/>
          <w:lang w:val="hr-HR"/>
        </w:rPr>
      </w:pPr>
    </w:p>
    <w:p w:rsidR="007C40AB" w:rsidRPr="007C40AB" w:rsidRDefault="007C40AB" w:rsidP="007C40AB">
      <w:pPr>
        <w:spacing w:line="240" w:lineRule="auto"/>
        <w:ind w:right="-1"/>
        <w:contextualSpacing/>
        <w:rPr>
          <w:rFonts w:ascii="Century Gothic" w:hAnsi="Century Gothic"/>
          <w:sz w:val="20"/>
          <w:szCs w:val="20"/>
          <w:lang w:val="hr-HR"/>
        </w:rPr>
      </w:pPr>
      <w:r w:rsidRPr="007C40AB">
        <w:rPr>
          <w:rFonts w:ascii="Century Gothic" w:hAnsi="Century Gothic"/>
          <w:sz w:val="20"/>
          <w:szCs w:val="20"/>
          <w:lang w:val="hr-HR"/>
        </w:rPr>
        <w:t xml:space="preserve">U borbi protiv korupcije, Grupa slijedi osnovna načela sadržana u primjenjivim konvencijama, kao i međunarodnim najboljim praksama. </w:t>
      </w:r>
    </w:p>
    <w:p w:rsidR="007C40AB" w:rsidRPr="007C40AB" w:rsidRDefault="007C40AB" w:rsidP="007C40AB">
      <w:pPr>
        <w:spacing w:line="240" w:lineRule="auto"/>
        <w:ind w:right="-1"/>
        <w:contextualSpacing/>
        <w:rPr>
          <w:rFonts w:ascii="Century Gothic" w:hAnsi="Century Gothic"/>
          <w:sz w:val="20"/>
          <w:szCs w:val="20"/>
          <w:lang w:val="hr-HR"/>
        </w:rPr>
      </w:pPr>
    </w:p>
    <w:p w:rsidR="007C40AB" w:rsidRDefault="007C40AB" w:rsidP="007C40AB">
      <w:pPr>
        <w:spacing w:line="240" w:lineRule="auto"/>
        <w:ind w:right="-1"/>
        <w:contextualSpacing/>
        <w:rPr>
          <w:rFonts w:ascii="Century Gothic" w:hAnsi="Century Gothic"/>
          <w:sz w:val="20"/>
          <w:szCs w:val="20"/>
          <w:lang w:val="hr-HR"/>
        </w:rPr>
      </w:pPr>
    </w:p>
    <w:p w:rsidR="007C40AB" w:rsidRPr="007C40AB" w:rsidRDefault="007C40AB" w:rsidP="007C40AB">
      <w:pPr>
        <w:spacing w:line="240" w:lineRule="auto"/>
        <w:ind w:right="-1"/>
        <w:contextualSpacing/>
        <w:rPr>
          <w:rFonts w:ascii="Century Gothic" w:hAnsi="Century Gothic"/>
          <w:sz w:val="20"/>
          <w:szCs w:val="20"/>
          <w:lang w:val="hr-HR"/>
        </w:rPr>
      </w:pPr>
      <w:r>
        <w:rPr>
          <w:rFonts w:ascii="Century Gothic" w:hAnsi="Century Gothic"/>
          <w:sz w:val="20"/>
          <w:szCs w:val="20"/>
          <w:lang w:val="hr-HR"/>
        </w:rPr>
        <w:t>U ovom okviru, od posebne</w:t>
      </w:r>
      <w:r w:rsidRPr="007C40AB">
        <w:rPr>
          <w:rFonts w:ascii="Century Gothic" w:hAnsi="Century Gothic"/>
          <w:sz w:val="20"/>
          <w:szCs w:val="20"/>
          <w:lang w:val="hr-HR"/>
        </w:rPr>
        <w:t xml:space="preserve"> važnosti su:</w:t>
      </w:r>
    </w:p>
    <w:p w:rsidR="007C40AB" w:rsidRPr="007C40AB" w:rsidRDefault="007C40AB" w:rsidP="007C40AB">
      <w:pPr>
        <w:spacing w:line="240" w:lineRule="auto"/>
        <w:ind w:right="-1"/>
        <w:contextualSpacing/>
        <w:rPr>
          <w:rFonts w:ascii="Century Gothic" w:hAnsi="Century Gothic"/>
          <w:sz w:val="20"/>
          <w:szCs w:val="20"/>
          <w:lang w:val="hr-HR"/>
        </w:rPr>
      </w:pPr>
    </w:p>
    <w:p w:rsidR="007C40AB" w:rsidRPr="007C40AB" w:rsidRDefault="007C40AB" w:rsidP="007C40AB">
      <w:pPr>
        <w:pStyle w:val="ListParagraph"/>
        <w:numPr>
          <w:ilvl w:val="0"/>
          <w:numId w:val="4"/>
        </w:numPr>
        <w:spacing w:line="240" w:lineRule="auto"/>
        <w:ind w:right="-1"/>
        <w:rPr>
          <w:rFonts w:ascii="Century Gothic" w:hAnsi="Century Gothic"/>
          <w:sz w:val="20"/>
          <w:szCs w:val="20"/>
          <w:lang w:val="hr-HR"/>
        </w:rPr>
      </w:pPr>
      <w:r w:rsidRPr="007C40AB">
        <w:rPr>
          <w:rFonts w:ascii="Century Gothic" w:hAnsi="Century Gothic"/>
          <w:sz w:val="20"/>
          <w:szCs w:val="20"/>
          <w:lang w:val="hr-HR"/>
        </w:rPr>
        <w:t>"Konvencija o borbi protiv podmićivanja stranih javnih dužnosnika u međunarodnom poslovanju”, 1997,  Organizacija za ekonomsku suradnju i razvoj (OECD)</w:t>
      </w:r>
    </w:p>
    <w:p w:rsidR="007C40AB" w:rsidRPr="007C40AB" w:rsidRDefault="007C40AB" w:rsidP="007C40AB">
      <w:pPr>
        <w:pStyle w:val="ListParagraph"/>
        <w:numPr>
          <w:ilvl w:val="0"/>
          <w:numId w:val="4"/>
        </w:numPr>
        <w:spacing w:line="240" w:lineRule="auto"/>
        <w:ind w:right="-1"/>
        <w:rPr>
          <w:rFonts w:ascii="Century Gothic" w:hAnsi="Century Gothic"/>
          <w:sz w:val="20"/>
          <w:szCs w:val="20"/>
          <w:lang w:val="hr-HR"/>
        </w:rPr>
      </w:pPr>
      <w:r w:rsidRPr="007C40AB">
        <w:rPr>
          <w:rFonts w:ascii="Century Gothic" w:hAnsi="Century Gothic"/>
          <w:sz w:val="20"/>
          <w:szCs w:val="20"/>
          <w:lang w:val="hr-HR"/>
        </w:rPr>
        <w:t>“Konvencija protiv korupcije”, usvojena Rezolucijom 58/4 od 31. listopada 2003., Organizacija Ujedinjenih naroda (dalje u tekstu “Ujedinjeni narodi” ili “UN”)</w:t>
      </w:r>
    </w:p>
    <w:p w:rsidR="007C40AB" w:rsidRPr="007C40AB" w:rsidRDefault="007C40AB" w:rsidP="007C40AB">
      <w:pPr>
        <w:pStyle w:val="ListParagraph"/>
        <w:numPr>
          <w:ilvl w:val="0"/>
          <w:numId w:val="4"/>
        </w:numPr>
        <w:spacing w:line="240" w:lineRule="auto"/>
        <w:ind w:right="-1"/>
        <w:rPr>
          <w:rFonts w:ascii="Century Gothic" w:hAnsi="Century Gothic"/>
          <w:sz w:val="20"/>
          <w:szCs w:val="20"/>
          <w:lang w:val="hr-HR"/>
        </w:rPr>
      </w:pPr>
      <w:r w:rsidRPr="007C40AB">
        <w:rPr>
          <w:rFonts w:ascii="Century Gothic" w:hAnsi="Century Gothic"/>
          <w:sz w:val="20"/>
          <w:szCs w:val="20"/>
          <w:lang w:val="hr-HR"/>
        </w:rPr>
        <w:t>“Kaznenopravna konvencija o korupciji” i “Građanskopravna konvencija o korupciji”, 1999. Vijeće  Europe</w:t>
      </w:r>
    </w:p>
    <w:p w:rsidR="007C40AB" w:rsidRPr="007C40AB" w:rsidRDefault="007C40AB" w:rsidP="007C40AB">
      <w:pPr>
        <w:pStyle w:val="ListParagraph"/>
        <w:numPr>
          <w:ilvl w:val="0"/>
          <w:numId w:val="4"/>
        </w:numPr>
        <w:spacing w:line="240" w:lineRule="auto"/>
        <w:ind w:right="-1"/>
        <w:rPr>
          <w:rFonts w:ascii="Century Gothic" w:hAnsi="Century Gothic"/>
          <w:sz w:val="20"/>
          <w:szCs w:val="20"/>
          <w:lang w:val="hr-HR"/>
        </w:rPr>
      </w:pPr>
      <w:r w:rsidRPr="007C40AB">
        <w:rPr>
          <w:rFonts w:ascii="Century Gothic" w:hAnsi="Century Gothic"/>
          <w:sz w:val="20"/>
          <w:szCs w:val="20"/>
          <w:lang w:val="hr-HR"/>
        </w:rPr>
        <w:t>Okvirna odluka Vijeća 2003/568/PUP od 22. srpnja 2003. o borbi protiv korupcije u privatnom sektoru,   2003. Vijeće Europske unije</w:t>
      </w:r>
    </w:p>
    <w:p w:rsidR="007C40AB" w:rsidRPr="007C40AB" w:rsidRDefault="007C40AB" w:rsidP="007C40AB">
      <w:pPr>
        <w:pStyle w:val="ListParagraph"/>
        <w:numPr>
          <w:ilvl w:val="0"/>
          <w:numId w:val="4"/>
        </w:numPr>
        <w:spacing w:line="240" w:lineRule="auto"/>
        <w:ind w:right="-1"/>
        <w:rPr>
          <w:rFonts w:ascii="Century Gothic" w:hAnsi="Century Gothic"/>
          <w:sz w:val="20"/>
          <w:szCs w:val="20"/>
          <w:lang w:val="hr-HR"/>
        </w:rPr>
      </w:pPr>
      <w:r w:rsidRPr="007C40AB">
        <w:rPr>
          <w:rFonts w:ascii="Century Gothic" w:hAnsi="Century Gothic"/>
          <w:sz w:val="20"/>
          <w:szCs w:val="20"/>
          <w:lang w:val="hr-HR"/>
        </w:rPr>
        <w:t>“Smjernice Wolfsberg Grupe za sprječavanje korupcije”, 2011., Wolfsberg Grupa</w:t>
      </w:r>
    </w:p>
    <w:p w:rsidR="007C40AB" w:rsidRPr="007C40AB" w:rsidRDefault="007C40AB" w:rsidP="007C40AB">
      <w:pPr>
        <w:pStyle w:val="ListParagraph"/>
        <w:numPr>
          <w:ilvl w:val="0"/>
          <w:numId w:val="4"/>
        </w:numPr>
        <w:spacing w:line="240" w:lineRule="auto"/>
        <w:ind w:right="-1"/>
        <w:rPr>
          <w:rFonts w:ascii="Century Gothic" w:hAnsi="Century Gothic"/>
          <w:sz w:val="20"/>
          <w:szCs w:val="20"/>
          <w:lang w:val="hr-HR"/>
        </w:rPr>
      </w:pPr>
      <w:r w:rsidRPr="007C40AB">
        <w:rPr>
          <w:rFonts w:ascii="Century Gothic" w:hAnsi="Century Gothic"/>
          <w:sz w:val="20"/>
          <w:szCs w:val="20"/>
          <w:lang w:val="hr-HR"/>
        </w:rPr>
        <w:t>“Pravila Međunarodne trgovačke komore o borbi protiv korupcije”, 2011. Međunarodna trgovačka komora (ICC)</w:t>
      </w:r>
    </w:p>
    <w:p w:rsidR="007C40AB" w:rsidRPr="007C40AB" w:rsidRDefault="007C40AB" w:rsidP="007C40AB">
      <w:pPr>
        <w:pStyle w:val="ListParagraph"/>
        <w:numPr>
          <w:ilvl w:val="0"/>
          <w:numId w:val="4"/>
        </w:numPr>
        <w:spacing w:line="240" w:lineRule="auto"/>
        <w:ind w:right="-1"/>
        <w:rPr>
          <w:rFonts w:ascii="Century Gothic" w:hAnsi="Century Gothic"/>
          <w:sz w:val="20"/>
          <w:szCs w:val="20"/>
          <w:lang w:val="hr-HR"/>
        </w:rPr>
      </w:pPr>
      <w:r w:rsidRPr="007C40AB">
        <w:rPr>
          <w:rFonts w:ascii="Century Gothic" w:hAnsi="Century Gothic"/>
          <w:sz w:val="20"/>
          <w:szCs w:val="20"/>
          <w:lang w:val="hr-HR"/>
        </w:rPr>
        <w:t>“Poslovna načela za suzbijanje podmićivanja, inicijativa više udjelničara koju predvodi Transparency International”, 2013., Transparency International</w:t>
      </w:r>
    </w:p>
    <w:p w:rsidR="007C40AB" w:rsidRPr="007C40AB" w:rsidRDefault="007C40AB" w:rsidP="007C40AB">
      <w:pPr>
        <w:pStyle w:val="ListParagraph"/>
        <w:numPr>
          <w:ilvl w:val="0"/>
          <w:numId w:val="4"/>
        </w:numPr>
        <w:spacing w:line="240" w:lineRule="auto"/>
        <w:ind w:right="-1"/>
        <w:rPr>
          <w:rFonts w:ascii="Century Gothic" w:hAnsi="Century Gothic"/>
          <w:sz w:val="20"/>
          <w:szCs w:val="20"/>
          <w:lang w:val="hr-HR"/>
        </w:rPr>
      </w:pPr>
      <w:r w:rsidRPr="007C40AB">
        <w:rPr>
          <w:rFonts w:ascii="Century Gothic" w:hAnsi="Century Gothic"/>
          <w:sz w:val="20"/>
          <w:szCs w:val="20"/>
          <w:lang w:val="hr-HR"/>
        </w:rPr>
        <w:t>“2015-16 G20 Provedbeni plan za borbu protiv korupcije”, 2014., G-20</w:t>
      </w:r>
    </w:p>
    <w:p w:rsidR="007C40AB" w:rsidRPr="007C40AB" w:rsidRDefault="007C40AB" w:rsidP="007C40AB">
      <w:pPr>
        <w:pStyle w:val="ListParagraph"/>
        <w:numPr>
          <w:ilvl w:val="0"/>
          <w:numId w:val="4"/>
        </w:numPr>
        <w:spacing w:line="240" w:lineRule="auto"/>
        <w:ind w:right="-1"/>
        <w:rPr>
          <w:rFonts w:ascii="Century Gothic" w:hAnsi="Century Gothic"/>
          <w:sz w:val="20"/>
          <w:szCs w:val="20"/>
          <w:lang w:val="hr-HR"/>
        </w:rPr>
      </w:pPr>
      <w:r w:rsidRPr="007C40AB">
        <w:rPr>
          <w:rFonts w:ascii="Century Gothic" w:hAnsi="Century Gothic"/>
          <w:sz w:val="20"/>
          <w:szCs w:val="20"/>
          <w:lang w:val="hr-HR"/>
        </w:rPr>
        <w:t xml:space="preserve">Pravila Intesa Sanpaolo/PBZ Grupe </w:t>
      </w:r>
    </w:p>
    <w:p w:rsidR="007C40AB" w:rsidRPr="007C40AB" w:rsidRDefault="007C40AB" w:rsidP="007C40AB">
      <w:pPr>
        <w:spacing w:line="240" w:lineRule="auto"/>
        <w:ind w:right="-1"/>
        <w:contextualSpacing/>
        <w:rPr>
          <w:rFonts w:ascii="Century Gothic" w:hAnsi="Century Gothic"/>
          <w:sz w:val="20"/>
          <w:szCs w:val="20"/>
          <w:lang w:val="hr-HR"/>
        </w:rPr>
      </w:pPr>
    </w:p>
    <w:p w:rsidR="007C40AB" w:rsidRPr="007C40AB" w:rsidRDefault="007C40AB" w:rsidP="007C40AB">
      <w:pPr>
        <w:pStyle w:val="Heading2"/>
      </w:pPr>
      <w:bookmarkStart w:id="5" w:name="_Toc487117872"/>
      <w:bookmarkStart w:id="6" w:name="_Toc518643264"/>
      <w:bookmarkStart w:id="7" w:name="_Toc21961400"/>
      <w:r w:rsidRPr="007C40AB">
        <w:t xml:space="preserve">DOMAĆI </w:t>
      </w:r>
      <w:bookmarkEnd w:id="5"/>
      <w:r w:rsidRPr="007C40AB">
        <w:t>PROPISI</w:t>
      </w:r>
      <w:bookmarkEnd w:id="6"/>
      <w:bookmarkEnd w:id="7"/>
    </w:p>
    <w:p w:rsidR="007C40AB" w:rsidRPr="007C40AB" w:rsidRDefault="007C40AB" w:rsidP="007C40AB">
      <w:pPr>
        <w:ind w:right="-1"/>
        <w:rPr>
          <w:rFonts w:ascii="Century Gothic" w:hAnsi="Century Gothic"/>
          <w:sz w:val="20"/>
          <w:szCs w:val="20"/>
          <w:lang w:val="hr-HR"/>
        </w:rPr>
      </w:pPr>
    </w:p>
    <w:p w:rsidR="007C40AB" w:rsidRPr="007C40AB" w:rsidRDefault="007C40AB" w:rsidP="007C40AB">
      <w:pPr>
        <w:ind w:right="-1"/>
        <w:rPr>
          <w:rFonts w:ascii="Century Gothic" w:hAnsi="Century Gothic"/>
          <w:sz w:val="20"/>
          <w:szCs w:val="20"/>
          <w:lang w:val="hr-HR"/>
        </w:rPr>
      </w:pPr>
      <w:r w:rsidRPr="007C40AB">
        <w:rPr>
          <w:rFonts w:ascii="Century Gothic" w:hAnsi="Century Gothic"/>
          <w:sz w:val="20"/>
          <w:szCs w:val="20"/>
          <w:lang w:val="hr-HR"/>
        </w:rPr>
        <w:t>U pogledu domaćeg zakonodavstva glavni propisi su:</w:t>
      </w:r>
    </w:p>
    <w:p w:rsidR="007C40AB" w:rsidRPr="007C40AB" w:rsidRDefault="007C40AB" w:rsidP="007C40AB">
      <w:pPr>
        <w:pStyle w:val="ListParagraph"/>
        <w:numPr>
          <w:ilvl w:val="0"/>
          <w:numId w:val="2"/>
        </w:numPr>
        <w:ind w:right="-1"/>
        <w:rPr>
          <w:rFonts w:ascii="Century Gothic" w:hAnsi="Century Gothic"/>
          <w:sz w:val="20"/>
          <w:szCs w:val="20"/>
          <w:lang w:val="it-IT"/>
        </w:rPr>
      </w:pPr>
      <w:r w:rsidRPr="007C40AB">
        <w:rPr>
          <w:rFonts w:ascii="Century Gothic" w:hAnsi="Century Gothic"/>
          <w:sz w:val="20"/>
          <w:szCs w:val="20"/>
          <w:lang w:val="it-IT"/>
        </w:rPr>
        <w:t>Krivični zakon Bosne i Hercegovine, entitetski zakoni i zakon Brčko distrikta</w:t>
      </w:r>
    </w:p>
    <w:p w:rsidR="007C40AB" w:rsidRPr="007C40AB" w:rsidRDefault="007C40AB" w:rsidP="007C40AB">
      <w:pPr>
        <w:pStyle w:val="ListParagraph"/>
        <w:numPr>
          <w:ilvl w:val="0"/>
          <w:numId w:val="2"/>
        </w:numPr>
        <w:ind w:right="-1"/>
        <w:rPr>
          <w:rFonts w:ascii="Century Gothic" w:hAnsi="Century Gothic"/>
          <w:sz w:val="20"/>
          <w:szCs w:val="20"/>
          <w:lang w:val="it-IT"/>
        </w:rPr>
      </w:pPr>
      <w:r w:rsidRPr="007C40AB">
        <w:rPr>
          <w:rFonts w:ascii="Century Gothic" w:hAnsi="Century Gothic"/>
          <w:sz w:val="20"/>
          <w:szCs w:val="20"/>
          <w:lang w:val="it-IT"/>
        </w:rPr>
        <w:t>Zakon o krivičnom postupku Bosne i Hercegovine, entitetski zakoni i zakon Brčko distrikta</w:t>
      </w:r>
    </w:p>
    <w:p w:rsidR="007C40AB" w:rsidRPr="007C40AB" w:rsidRDefault="007C40AB" w:rsidP="007C40AB">
      <w:pPr>
        <w:pStyle w:val="ListParagraph"/>
        <w:numPr>
          <w:ilvl w:val="0"/>
          <w:numId w:val="2"/>
        </w:numPr>
        <w:ind w:right="-1"/>
        <w:rPr>
          <w:rFonts w:ascii="Century Gothic" w:hAnsi="Century Gothic"/>
          <w:sz w:val="20"/>
          <w:szCs w:val="20"/>
          <w:lang w:val="it-IT"/>
        </w:rPr>
      </w:pPr>
      <w:r w:rsidRPr="007C40AB">
        <w:rPr>
          <w:rFonts w:ascii="Century Gothic" w:hAnsi="Century Gothic"/>
          <w:sz w:val="20"/>
          <w:szCs w:val="20"/>
          <w:lang w:val="it-IT"/>
        </w:rPr>
        <w:t>Zakon o spriječavanju pranja novca i finansiranju terorističkih aktivnosi Bosne i Hercegovine</w:t>
      </w:r>
    </w:p>
    <w:p w:rsidR="007C40AB" w:rsidRPr="007C40AB" w:rsidRDefault="007C40AB" w:rsidP="007C40AB">
      <w:pPr>
        <w:pStyle w:val="ListParagraph"/>
        <w:numPr>
          <w:ilvl w:val="0"/>
          <w:numId w:val="2"/>
        </w:numPr>
        <w:rPr>
          <w:rFonts w:ascii="Century Gothic" w:hAnsi="Century Gothic"/>
          <w:sz w:val="20"/>
          <w:szCs w:val="20"/>
          <w:lang w:val="hr-HR"/>
        </w:rPr>
      </w:pPr>
      <w:hyperlink r:id="rId7" w:history="1">
        <w:r w:rsidRPr="007C40AB">
          <w:rPr>
            <w:rStyle w:val="Hyperlink"/>
            <w:rFonts w:ascii="Century Gothic" w:hAnsi="Century Gothic"/>
            <w:szCs w:val="20"/>
            <w:u w:val="none"/>
            <w:lang w:val="hr-HR"/>
          </w:rPr>
          <w:t>Zakon o slobodi pristupa informacijama</w:t>
        </w:r>
      </w:hyperlink>
    </w:p>
    <w:p w:rsidR="007C40AB" w:rsidRPr="007C40AB" w:rsidRDefault="007C40AB" w:rsidP="007C40AB">
      <w:pPr>
        <w:pStyle w:val="ListParagraph"/>
        <w:numPr>
          <w:ilvl w:val="0"/>
          <w:numId w:val="2"/>
        </w:numPr>
        <w:rPr>
          <w:rFonts w:ascii="Century Gothic" w:hAnsi="Century Gothic"/>
          <w:sz w:val="20"/>
          <w:szCs w:val="20"/>
          <w:lang w:val="it-IT"/>
        </w:rPr>
      </w:pPr>
      <w:r w:rsidRPr="007C40AB">
        <w:rPr>
          <w:rFonts w:ascii="Century Gothic" w:hAnsi="Century Gothic"/>
          <w:sz w:val="20"/>
          <w:szCs w:val="20"/>
          <w:lang w:val="it-IT"/>
        </w:rPr>
        <w:t>Zakon o radu entiteta</w:t>
      </w:r>
    </w:p>
    <w:p w:rsidR="007C40AB" w:rsidRPr="007C40AB" w:rsidRDefault="007C40AB" w:rsidP="007C40AB">
      <w:pPr>
        <w:pStyle w:val="ListParagraph"/>
        <w:numPr>
          <w:ilvl w:val="0"/>
          <w:numId w:val="2"/>
        </w:numPr>
        <w:ind w:right="-1"/>
        <w:rPr>
          <w:rFonts w:ascii="Century Gothic" w:hAnsi="Century Gothic"/>
          <w:sz w:val="20"/>
          <w:szCs w:val="20"/>
          <w:lang w:val="it-IT"/>
        </w:rPr>
      </w:pPr>
      <w:r w:rsidRPr="007C40AB">
        <w:rPr>
          <w:rFonts w:ascii="Century Gothic" w:hAnsi="Century Gothic"/>
          <w:sz w:val="20"/>
          <w:szCs w:val="20"/>
          <w:lang w:val="it-IT"/>
        </w:rPr>
        <w:t>Zakon o sukobu interesa u institucijama vlasti Bosne i Hercegovine i entiteta</w:t>
      </w:r>
    </w:p>
    <w:p w:rsidR="007C40AB" w:rsidRPr="007C40AB" w:rsidRDefault="007C40AB" w:rsidP="007C40AB">
      <w:pPr>
        <w:pStyle w:val="ListParagraph"/>
        <w:numPr>
          <w:ilvl w:val="0"/>
          <w:numId w:val="2"/>
        </w:numPr>
        <w:ind w:right="-1"/>
        <w:rPr>
          <w:rFonts w:ascii="Century Gothic" w:hAnsi="Century Gothic"/>
          <w:sz w:val="20"/>
          <w:szCs w:val="20"/>
          <w:lang w:val="it-IT"/>
        </w:rPr>
      </w:pPr>
      <w:r w:rsidRPr="007C40AB">
        <w:rPr>
          <w:rFonts w:ascii="Century Gothic" w:hAnsi="Century Gothic"/>
          <w:sz w:val="20"/>
          <w:szCs w:val="20"/>
          <w:lang w:val="it-IT"/>
        </w:rPr>
        <w:t>Zakon o agenciji za prevenciju korupcije i koordinaciju borbe protiv korupcije</w:t>
      </w:r>
    </w:p>
    <w:p w:rsidR="007C40AB" w:rsidRPr="007C40AB" w:rsidRDefault="007C40AB" w:rsidP="007C40AB">
      <w:pPr>
        <w:autoSpaceDE w:val="0"/>
        <w:autoSpaceDN w:val="0"/>
        <w:adjustRightInd w:val="0"/>
        <w:spacing w:line="240" w:lineRule="auto"/>
        <w:rPr>
          <w:rFonts w:ascii="Century Gothic" w:hAnsi="Century Gothic" w:cs="CIDFont+F4"/>
          <w:sz w:val="20"/>
          <w:szCs w:val="20"/>
        </w:rPr>
      </w:pPr>
      <w:r w:rsidRPr="007C40AB">
        <w:rPr>
          <w:rFonts w:ascii="Century Gothic" w:hAnsi="Century Gothic" w:cs="CIDFont+F4"/>
          <w:sz w:val="20"/>
          <w:szCs w:val="20"/>
        </w:rPr>
        <w:t xml:space="preserve">Banka i članice Grupe primjenjuju </w:t>
      </w:r>
      <w:r w:rsidRPr="007C40AB">
        <w:rPr>
          <w:rFonts w:ascii="Century Gothic" w:hAnsi="Century Gothic" w:cs="CIDFont+F3"/>
          <w:sz w:val="20"/>
          <w:szCs w:val="20"/>
        </w:rPr>
        <w:t xml:space="preserve">načelo nulte stope tolerancije </w:t>
      </w:r>
      <w:r w:rsidRPr="007C40AB">
        <w:rPr>
          <w:rFonts w:ascii="Century Gothic" w:hAnsi="Century Gothic" w:cs="CIDFont+F4"/>
          <w:sz w:val="20"/>
          <w:szCs w:val="20"/>
        </w:rPr>
        <w:t>spram korupcije te ju zabranjuju u svakom obliku, izravnom i neizravnom, pridržavajući se pritom vrijednosti integriteta, načela profesionalnosti, ustrajnosti, marljivosti, poštenja, pravednosti i odgovornosti.</w:t>
      </w:r>
    </w:p>
    <w:p w:rsidR="007C40AB" w:rsidRPr="007C40AB" w:rsidRDefault="007C40AB" w:rsidP="007C40AB">
      <w:pPr>
        <w:autoSpaceDE w:val="0"/>
        <w:autoSpaceDN w:val="0"/>
        <w:adjustRightInd w:val="0"/>
        <w:spacing w:line="240" w:lineRule="auto"/>
        <w:rPr>
          <w:rFonts w:ascii="Century Gothic" w:hAnsi="Century Gothic" w:cs="CIDFont+F4"/>
          <w:sz w:val="20"/>
          <w:szCs w:val="20"/>
        </w:rPr>
      </w:pPr>
      <w:r w:rsidRPr="007C40AB">
        <w:rPr>
          <w:rFonts w:ascii="Century Gothic" w:hAnsi="Century Gothic" w:cs="CIDFont+F4"/>
          <w:sz w:val="20"/>
          <w:szCs w:val="20"/>
        </w:rPr>
        <w:t xml:space="preserve">Sukladno navedenome a u skladu sa vrijednostima </w:t>
      </w:r>
      <w:r w:rsidRPr="007C40AB">
        <w:rPr>
          <w:rFonts w:ascii="Century Gothic" w:hAnsi="Century Gothic" w:cs="CIDFont+F8"/>
          <w:sz w:val="20"/>
          <w:szCs w:val="20"/>
        </w:rPr>
        <w:t>Etičkog kodeksa</w:t>
      </w:r>
      <w:r w:rsidRPr="007C40AB">
        <w:rPr>
          <w:rFonts w:ascii="Century Gothic" w:hAnsi="Century Gothic" w:cs="CIDFont+F4"/>
          <w:sz w:val="20"/>
          <w:szCs w:val="20"/>
        </w:rPr>
        <w:t>, niti Banka niti bilo koja članica PBZ Grupe ne prihvaćaju bilo koju vrstu korupcije, provedenu na bilo kakav način, u bilo kojem obliku, čak i kada bi takve aktivnosti mogle biti prihvaćene, dopuštene ili ih se ne bi dovodilo u pitanje, sukladno pozitivnim zakonskim propisima Bosne i Hercegovine.</w:t>
      </w:r>
    </w:p>
    <w:p w:rsidR="007C40AB" w:rsidRPr="007C40AB" w:rsidRDefault="007C40AB" w:rsidP="007C40AB">
      <w:pPr>
        <w:autoSpaceDE w:val="0"/>
        <w:autoSpaceDN w:val="0"/>
        <w:adjustRightInd w:val="0"/>
        <w:spacing w:line="240" w:lineRule="auto"/>
        <w:rPr>
          <w:rFonts w:ascii="Century Gothic" w:hAnsi="Century Gothic" w:cs="CIDFont+F4"/>
          <w:sz w:val="20"/>
          <w:szCs w:val="20"/>
        </w:rPr>
      </w:pPr>
      <w:r w:rsidRPr="007C40AB">
        <w:rPr>
          <w:rFonts w:ascii="Century Gothic" w:hAnsi="Century Gothic" w:cs="CIDFont+F4"/>
          <w:sz w:val="20"/>
          <w:szCs w:val="20"/>
        </w:rPr>
        <w:t>Tako su troškovi darova i zabave, dobrotvorne donacije, sponzorstva, odnosi s trećim ugovornim stranama, kupnja, upravljanje i raspolaganje ulaganjima, imovinom I nekretninama, zapošljavanja pomno razrađene, definirane i nadzirane kroz interne smjernice kako bi se nedvosmisleno utvrdili i pravodobno uočili potencijalni rizici korupcije.</w:t>
      </w:r>
    </w:p>
    <w:p w:rsidR="007C40AB" w:rsidRPr="007C40AB" w:rsidRDefault="007C40AB" w:rsidP="007C40AB">
      <w:pPr>
        <w:autoSpaceDE w:val="0"/>
        <w:autoSpaceDN w:val="0"/>
        <w:adjustRightInd w:val="0"/>
        <w:spacing w:line="240" w:lineRule="auto"/>
        <w:rPr>
          <w:rFonts w:ascii="Century Gothic" w:hAnsi="Century Gothic" w:cs="CIDFont+F4"/>
          <w:sz w:val="20"/>
          <w:szCs w:val="20"/>
        </w:rPr>
      </w:pPr>
      <w:r w:rsidRPr="007C40AB">
        <w:rPr>
          <w:rFonts w:ascii="Century Gothic" w:hAnsi="Century Gothic" w:cs="CIDFont+F4"/>
          <w:sz w:val="20"/>
          <w:szCs w:val="20"/>
        </w:rPr>
        <w:t>Sve navedeno je sadržano u internom aktu koji se kao takav javno ne objavljuje te je predviđen isključivo za internu uporabu, a primjenjuju ga sve članice PBZ Grupe.</w:t>
      </w:r>
    </w:p>
    <w:p w:rsidR="007C40AB" w:rsidRPr="007C40AB" w:rsidRDefault="007C40AB" w:rsidP="007C40AB">
      <w:pPr>
        <w:autoSpaceDE w:val="0"/>
        <w:autoSpaceDN w:val="0"/>
        <w:adjustRightInd w:val="0"/>
        <w:spacing w:line="240" w:lineRule="auto"/>
        <w:rPr>
          <w:rFonts w:ascii="Century Gothic" w:hAnsi="Century Gothic" w:cs="CIDFont+F4"/>
          <w:sz w:val="20"/>
          <w:szCs w:val="20"/>
        </w:rPr>
      </w:pPr>
    </w:p>
    <w:p w:rsidR="007C40AB" w:rsidRPr="007C40AB" w:rsidRDefault="007C40AB" w:rsidP="007C40AB">
      <w:pPr>
        <w:autoSpaceDE w:val="0"/>
        <w:autoSpaceDN w:val="0"/>
        <w:adjustRightInd w:val="0"/>
        <w:spacing w:line="240" w:lineRule="auto"/>
        <w:rPr>
          <w:rFonts w:ascii="Century Gothic" w:hAnsi="Century Gothic" w:cs="CIDFont+F4"/>
          <w:sz w:val="20"/>
          <w:szCs w:val="20"/>
        </w:rPr>
      </w:pPr>
      <w:r w:rsidRPr="007C40AB">
        <w:rPr>
          <w:rFonts w:ascii="Century Gothic" w:hAnsi="Century Gothic" w:cs="CIDFont+F4"/>
          <w:sz w:val="20"/>
          <w:szCs w:val="20"/>
        </w:rPr>
        <w:t>U slučaju dodatnih pitanja ili nejasnoća, možete nas kontaktirati putem e-maila:</w:t>
      </w:r>
    </w:p>
    <w:p w:rsidR="006A4B64" w:rsidRDefault="007C40AB" w:rsidP="007C40AB">
      <w:pPr>
        <w:autoSpaceDE w:val="0"/>
        <w:autoSpaceDN w:val="0"/>
        <w:adjustRightInd w:val="0"/>
        <w:spacing w:line="240" w:lineRule="auto"/>
        <w:rPr>
          <w:rFonts w:ascii="Century Gothic" w:hAnsi="Century Gothic" w:cs="Helvetica"/>
          <w:b/>
          <w:color w:val="0D2901"/>
          <w:sz w:val="20"/>
          <w:szCs w:val="20"/>
        </w:rPr>
      </w:pPr>
      <w:hyperlink r:id="rId8" w:history="1">
        <w:r w:rsidRPr="00B96734">
          <w:rPr>
            <w:rStyle w:val="Hyperlink"/>
            <w:rFonts w:ascii="Century Gothic" w:hAnsi="Century Gothic" w:cs="Helvetica"/>
            <w:b/>
            <w:szCs w:val="20"/>
          </w:rPr>
          <w:t>info@intesasanpaolobanka.ba</w:t>
        </w:r>
      </w:hyperlink>
    </w:p>
    <w:p w:rsidR="007C40AB" w:rsidRDefault="007C40AB" w:rsidP="007C40AB">
      <w:pPr>
        <w:autoSpaceDE w:val="0"/>
        <w:autoSpaceDN w:val="0"/>
        <w:adjustRightInd w:val="0"/>
        <w:spacing w:line="240" w:lineRule="auto"/>
        <w:rPr>
          <w:rFonts w:ascii="Century Gothic" w:hAnsi="Century Gothic" w:cs="Helvetica"/>
          <w:b/>
          <w:color w:val="0D2901"/>
          <w:sz w:val="20"/>
          <w:szCs w:val="20"/>
        </w:rPr>
      </w:pPr>
    </w:p>
    <w:p w:rsidR="007C40AB" w:rsidRDefault="007C40AB" w:rsidP="007C40AB">
      <w:pPr>
        <w:autoSpaceDE w:val="0"/>
        <w:autoSpaceDN w:val="0"/>
        <w:adjustRightInd w:val="0"/>
        <w:spacing w:line="240" w:lineRule="auto"/>
        <w:rPr>
          <w:rFonts w:ascii="Century Gothic" w:hAnsi="Century Gothic" w:cs="Helvetica"/>
          <w:b/>
          <w:color w:val="0D2901"/>
          <w:sz w:val="20"/>
          <w:szCs w:val="20"/>
        </w:rPr>
      </w:pPr>
    </w:p>
    <w:p w:rsidR="007C40AB" w:rsidRDefault="007C40AB" w:rsidP="007C40AB">
      <w:pPr>
        <w:autoSpaceDE w:val="0"/>
        <w:autoSpaceDN w:val="0"/>
        <w:adjustRightInd w:val="0"/>
        <w:spacing w:line="240" w:lineRule="auto"/>
        <w:jc w:val="center"/>
        <w:rPr>
          <w:rStyle w:val="tlid-translation"/>
          <w:rFonts w:ascii="Century Gothic" w:hAnsi="Century Gothic"/>
          <w:b/>
          <w:sz w:val="20"/>
          <w:szCs w:val="20"/>
          <w:lang w:val="en"/>
        </w:rPr>
      </w:pPr>
      <w:r w:rsidRPr="007C40AB">
        <w:rPr>
          <w:rStyle w:val="tlid-translation"/>
          <w:rFonts w:ascii="Century Gothic" w:hAnsi="Century Gothic"/>
          <w:b/>
          <w:sz w:val="20"/>
          <w:szCs w:val="20"/>
          <w:lang w:val="en"/>
        </w:rPr>
        <w:t>GUIDELINES</w:t>
      </w:r>
      <w:r w:rsidRPr="007C40AB">
        <w:rPr>
          <w:rFonts w:ascii="Century Gothic" w:hAnsi="Century Gothic"/>
          <w:b/>
          <w:sz w:val="20"/>
          <w:szCs w:val="20"/>
          <w:lang w:val="en"/>
        </w:rPr>
        <w:br/>
      </w:r>
      <w:r w:rsidRPr="007C40AB">
        <w:rPr>
          <w:rStyle w:val="tlid-translation"/>
          <w:rFonts w:ascii="Century Gothic" w:hAnsi="Century Gothic"/>
          <w:b/>
          <w:sz w:val="20"/>
          <w:szCs w:val="20"/>
          <w:lang w:val="en"/>
        </w:rPr>
        <w:t>TO PREVENT CORRUPTION</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Fonts w:ascii="Century Gothic" w:hAnsi="Century Gothic"/>
          <w:sz w:val="20"/>
          <w:szCs w:val="20"/>
          <w:lang w:val="en"/>
        </w:rPr>
        <w:br/>
      </w:r>
      <w:r w:rsidRPr="007C40AB">
        <w:rPr>
          <w:rStyle w:val="tlid-translation"/>
          <w:rFonts w:ascii="Century Gothic" w:hAnsi="Century Gothic"/>
          <w:sz w:val="20"/>
          <w:szCs w:val="20"/>
          <w:lang w:val="en"/>
        </w:rPr>
        <w:t>Intesa Sanpaolo Bank d.d. Bosnia and Herzegovina (hereinafter: the Bank) is committed to combating corruption in all its forms, where corruption is related to offering or accepting, directly or indirectly, money or other benefits with a view to influencing the recipient, for the purpose of incentive or reward for the execution or functions / activities or their non-implementation. The foregoing therefore covers both "active corruption" (offering) and "passive corruption" (acceptance), and cases involving public bodies ("public corruption"), and also relationships between private persons ("private corruption"), is corruption aimed at performing an act that constitutes an infringement of an official's official duties ("direct corruption") or is it a corruption aimed at carrying out the act through someone else's position ("indirect corruption"), whether it be "prior corruption" or that which "follows" after the performance of official duties.</w:t>
      </w:r>
      <w:r w:rsidRPr="007C40AB">
        <w:rPr>
          <w:rFonts w:ascii="Century Gothic" w:hAnsi="Century Gothic"/>
          <w:sz w:val="20"/>
          <w:szCs w:val="20"/>
          <w:lang w:val="en"/>
        </w:rPr>
        <w:br/>
      </w:r>
      <w:r w:rsidRPr="007C40AB">
        <w:rPr>
          <w:rFonts w:ascii="Century Gothic" w:hAnsi="Century Gothic"/>
          <w:sz w:val="20"/>
          <w:szCs w:val="20"/>
          <w:lang w:val="en"/>
        </w:rPr>
        <w:br/>
      </w:r>
      <w:r w:rsidRPr="007C40AB">
        <w:rPr>
          <w:rStyle w:val="tlid-translation"/>
          <w:rFonts w:ascii="Century Gothic" w:hAnsi="Century Gothic"/>
          <w:sz w:val="20"/>
          <w:szCs w:val="20"/>
          <w:lang w:val="en"/>
        </w:rPr>
        <w:t>These Guidelines:</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Fonts w:ascii="Century Gothic" w:hAnsi="Century Gothic"/>
          <w:sz w:val="20"/>
          <w:szCs w:val="20"/>
          <w:lang w:val="en"/>
        </w:rPr>
        <w:br/>
      </w:r>
      <w:r w:rsidRPr="007C40AB">
        <w:rPr>
          <w:rStyle w:val="tlid-translation"/>
          <w:rFonts w:ascii="Century Gothic" w:hAnsi="Century Gothic"/>
          <w:sz w:val="20"/>
          <w:szCs w:val="20"/>
          <w:lang w:val="en"/>
        </w:rPr>
        <w:t>• identify principles and sensitive areas and define the roles, responsibilities and macro-processes of managing the risk of corruption by the Bank in the context of its own business activities in the context of the Bank's active cooperation in the fight against corruption, with the aim of protecting the integrity, reputation and preserving the reputation of key players;</w:t>
      </w:r>
      <w:r w:rsidRPr="007C40AB">
        <w:rPr>
          <w:rFonts w:ascii="Century Gothic" w:hAnsi="Century Gothic"/>
          <w:sz w:val="20"/>
          <w:szCs w:val="20"/>
          <w:lang w:val="en"/>
        </w:rPr>
        <w:br/>
      </w:r>
      <w:r w:rsidRPr="007C40AB">
        <w:rPr>
          <w:rStyle w:val="tlid-translation"/>
          <w:rFonts w:ascii="Century Gothic" w:hAnsi="Century Gothic"/>
          <w:sz w:val="20"/>
          <w:szCs w:val="20"/>
          <w:lang w:val="en"/>
        </w:rPr>
        <w:t>• monitors the business in which the Bank participates as a client executor, using a system for controlling the risk of money laundering and terrorist financing;</w:t>
      </w:r>
      <w:r w:rsidRPr="007C40AB">
        <w:rPr>
          <w:rFonts w:ascii="Century Gothic" w:hAnsi="Century Gothic"/>
          <w:sz w:val="20"/>
          <w:szCs w:val="20"/>
          <w:lang w:val="en"/>
        </w:rPr>
        <w:br/>
      </w:r>
      <w:r w:rsidRPr="007C40AB">
        <w:rPr>
          <w:rStyle w:val="tlid-translation"/>
          <w:rFonts w:ascii="Century Gothic" w:hAnsi="Century Gothic"/>
          <w:sz w:val="20"/>
          <w:szCs w:val="20"/>
          <w:lang w:val="en"/>
        </w:rPr>
        <w:t>• provide general information to all employees of the Bank on measures taken by the Bank to identify and reduce corruption risks and to manage them.</w:t>
      </w:r>
      <w:r w:rsidRPr="007C40AB">
        <w:rPr>
          <w:rFonts w:ascii="Century Gothic" w:hAnsi="Century Gothic"/>
          <w:sz w:val="20"/>
          <w:szCs w:val="20"/>
          <w:lang w:val="en"/>
        </w:rPr>
        <w:br/>
      </w:r>
      <w:r w:rsidRPr="007C40AB">
        <w:rPr>
          <w:rFonts w:ascii="Century Gothic" w:hAnsi="Century Gothic"/>
          <w:sz w:val="20"/>
          <w:szCs w:val="20"/>
          <w:lang w:val="en"/>
        </w:rPr>
        <w:br/>
      </w:r>
      <w:r w:rsidRPr="007C40AB">
        <w:rPr>
          <w:rStyle w:val="tlid-translation"/>
          <w:rFonts w:ascii="Century Gothic" w:hAnsi="Century Gothic"/>
          <w:sz w:val="20"/>
          <w:szCs w:val="20"/>
          <w:lang w:val="en"/>
        </w:rPr>
        <w:t>All executives and employees of the Bank are expected to comply strictly with and comply with these Guidelines, as well as with all internal rules and laws that are related and aimed at preventing corruption.</w:t>
      </w:r>
      <w:r w:rsidRPr="007C40AB">
        <w:rPr>
          <w:rFonts w:ascii="Century Gothic" w:hAnsi="Century Gothic"/>
          <w:sz w:val="20"/>
          <w:szCs w:val="20"/>
          <w:lang w:val="en"/>
        </w:rPr>
        <w:br/>
      </w:r>
      <w:r w:rsidRPr="007C40AB">
        <w:rPr>
          <w:rFonts w:ascii="Century Gothic" w:hAnsi="Century Gothic"/>
          <w:sz w:val="20"/>
          <w:szCs w:val="20"/>
          <w:lang w:val="en"/>
        </w:rPr>
        <w:br/>
      </w:r>
      <w:r w:rsidRPr="007C40AB">
        <w:rPr>
          <w:rStyle w:val="tlid-translation"/>
          <w:rFonts w:ascii="Century Gothic" w:hAnsi="Century Gothic"/>
          <w:sz w:val="20"/>
          <w:szCs w:val="20"/>
          <w:lang w:val="en"/>
        </w:rPr>
        <w:t>External associates (suppliers, agents, brokers, consultants, experts, business partners and the like) who assist the Bank in carrying out its activities (hereinafter referred to as "third parties") are also required to comply with the principles set out in this Guideline.</w:t>
      </w:r>
    </w:p>
    <w:p w:rsidR="007C40AB" w:rsidRPr="007C40AB" w:rsidRDefault="007C40AB" w:rsidP="007C40AB">
      <w:pPr>
        <w:autoSpaceDE w:val="0"/>
        <w:autoSpaceDN w:val="0"/>
        <w:adjustRightInd w:val="0"/>
        <w:spacing w:line="240" w:lineRule="auto"/>
        <w:rPr>
          <w:rStyle w:val="tlid-translation"/>
          <w:rFonts w:ascii="Century Gothic" w:hAnsi="Century Gothic"/>
          <w:b/>
          <w:sz w:val="20"/>
          <w:szCs w:val="20"/>
          <w:lang w:val="en"/>
        </w:rPr>
      </w:pPr>
      <w:r w:rsidRPr="007C40AB">
        <w:rPr>
          <w:rFonts w:ascii="Century Gothic" w:hAnsi="Century Gothic"/>
          <w:sz w:val="20"/>
          <w:szCs w:val="20"/>
          <w:lang w:val="en"/>
        </w:rPr>
        <w:br/>
      </w:r>
      <w:r w:rsidRPr="007C40AB">
        <w:rPr>
          <w:rFonts w:ascii="Century Gothic" w:hAnsi="Century Gothic"/>
          <w:sz w:val="20"/>
          <w:szCs w:val="20"/>
          <w:lang w:val="en"/>
        </w:rPr>
        <w:br/>
      </w:r>
      <w:r w:rsidRPr="007C40AB">
        <w:rPr>
          <w:rStyle w:val="tlid-translation"/>
          <w:rFonts w:ascii="Century Gothic" w:hAnsi="Century Gothic"/>
          <w:b/>
          <w:sz w:val="20"/>
          <w:szCs w:val="20"/>
          <w:lang w:val="en"/>
        </w:rPr>
        <w:t>REGULATORY FRAMEWORK</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Fonts w:ascii="Century Gothic" w:hAnsi="Century Gothic"/>
          <w:sz w:val="20"/>
          <w:szCs w:val="20"/>
          <w:lang w:val="en"/>
        </w:rPr>
        <w:br/>
      </w:r>
      <w:r w:rsidRPr="007C40AB">
        <w:rPr>
          <w:rStyle w:val="tlid-translation"/>
          <w:rFonts w:ascii="Century Gothic" w:hAnsi="Century Gothic"/>
          <w:sz w:val="20"/>
          <w:szCs w:val="20"/>
          <w:lang w:val="en"/>
        </w:rPr>
        <w:t>Preventing corruption at all levels is the key to a successful anti-corruption policy. In the fight against corruption, the Bank follows the basic principles set out in:</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Style w:val="tlid-translation"/>
          <w:rFonts w:ascii="Century Gothic" w:hAnsi="Century Gothic"/>
          <w:sz w:val="20"/>
          <w:szCs w:val="20"/>
          <w:lang w:val="en"/>
        </w:rPr>
        <w:t>• legislation of Bosnia and Herzegovina;</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Style w:val="tlid-translation"/>
          <w:rFonts w:ascii="Century Gothic" w:hAnsi="Century Gothic"/>
          <w:sz w:val="20"/>
          <w:szCs w:val="20"/>
          <w:lang w:val="en"/>
        </w:rPr>
        <w:t>• international conventions rat</w:t>
      </w:r>
      <w:r>
        <w:rPr>
          <w:rStyle w:val="tlid-translation"/>
          <w:rFonts w:ascii="Century Gothic" w:hAnsi="Century Gothic"/>
          <w:sz w:val="20"/>
          <w:szCs w:val="20"/>
          <w:lang w:val="en"/>
        </w:rPr>
        <w:t>ified by Bosnia and Herzegovina;</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Pr>
          <w:rStyle w:val="tlid-translation"/>
          <w:rFonts w:ascii="Century Gothic" w:hAnsi="Century Gothic"/>
          <w:sz w:val="20"/>
          <w:szCs w:val="20"/>
          <w:lang w:val="en"/>
        </w:rPr>
        <w:t>• parent bank guidelines;</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p>
    <w:p w:rsidR="007C40AB" w:rsidRPr="007C40AB" w:rsidRDefault="007C40AB" w:rsidP="007C40AB">
      <w:pPr>
        <w:autoSpaceDE w:val="0"/>
        <w:autoSpaceDN w:val="0"/>
        <w:adjustRightInd w:val="0"/>
        <w:spacing w:line="240" w:lineRule="auto"/>
        <w:rPr>
          <w:rStyle w:val="tlid-translation"/>
          <w:rFonts w:ascii="Century Gothic" w:hAnsi="Century Gothic"/>
          <w:b/>
          <w:sz w:val="20"/>
          <w:szCs w:val="20"/>
          <w:lang w:val="en"/>
        </w:rPr>
      </w:pPr>
      <w:r w:rsidRPr="007C40AB">
        <w:rPr>
          <w:rFonts w:ascii="Century Gothic" w:hAnsi="Century Gothic"/>
          <w:sz w:val="20"/>
          <w:szCs w:val="20"/>
          <w:lang w:val="en"/>
        </w:rPr>
        <w:lastRenderedPageBreak/>
        <w:br/>
      </w:r>
      <w:r w:rsidRPr="007C40AB">
        <w:rPr>
          <w:rFonts w:ascii="Century Gothic" w:hAnsi="Century Gothic"/>
          <w:sz w:val="20"/>
          <w:szCs w:val="20"/>
          <w:lang w:val="en"/>
        </w:rPr>
        <w:br/>
      </w:r>
      <w:r w:rsidRPr="007C40AB">
        <w:rPr>
          <w:rStyle w:val="tlid-translation"/>
          <w:rFonts w:ascii="Century Gothic" w:hAnsi="Century Gothic"/>
          <w:b/>
          <w:sz w:val="20"/>
          <w:szCs w:val="20"/>
          <w:lang w:val="en"/>
        </w:rPr>
        <w:t>FOREIGN REGULATIONS</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Fonts w:ascii="Century Gothic" w:hAnsi="Century Gothic"/>
          <w:sz w:val="20"/>
          <w:szCs w:val="20"/>
          <w:lang w:val="en"/>
        </w:rPr>
        <w:br/>
      </w:r>
      <w:r w:rsidRPr="007C40AB">
        <w:rPr>
          <w:rStyle w:val="tlid-translation"/>
          <w:rFonts w:ascii="Century Gothic" w:hAnsi="Century Gothic"/>
          <w:sz w:val="20"/>
          <w:szCs w:val="20"/>
          <w:lang w:val="en"/>
        </w:rPr>
        <w:t>In the fight against corruption, the Group follows the basic principles enshrined in the applicable conventions as well as international best practices.</w:t>
      </w:r>
      <w:r w:rsidRPr="007C40AB">
        <w:rPr>
          <w:rFonts w:ascii="Century Gothic" w:hAnsi="Century Gothic"/>
          <w:sz w:val="20"/>
          <w:szCs w:val="20"/>
          <w:lang w:val="en"/>
        </w:rPr>
        <w:br/>
      </w:r>
      <w:r w:rsidRPr="007C40AB">
        <w:rPr>
          <w:rFonts w:ascii="Century Gothic" w:hAnsi="Century Gothic"/>
          <w:sz w:val="20"/>
          <w:szCs w:val="20"/>
          <w:lang w:val="en"/>
        </w:rPr>
        <w:br/>
      </w:r>
      <w:r w:rsidRPr="007C40AB">
        <w:rPr>
          <w:rStyle w:val="tlid-translation"/>
          <w:rFonts w:ascii="Century Gothic" w:hAnsi="Century Gothic"/>
          <w:sz w:val="20"/>
          <w:szCs w:val="20"/>
          <w:lang w:val="en"/>
        </w:rPr>
        <w:t>In this context, of particular importance are:</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Fonts w:ascii="Century Gothic" w:hAnsi="Century Gothic"/>
          <w:sz w:val="20"/>
          <w:szCs w:val="20"/>
          <w:lang w:val="en"/>
        </w:rPr>
        <w:br/>
      </w:r>
      <w:r w:rsidRPr="007C40AB">
        <w:rPr>
          <w:rStyle w:val="tlid-translation"/>
          <w:rFonts w:ascii="Century Gothic" w:hAnsi="Century Gothic"/>
          <w:sz w:val="20"/>
          <w:szCs w:val="20"/>
          <w:lang w:val="en"/>
        </w:rPr>
        <w:t>• "Convention for the Suppression of Bribery of Foreign Public Officials in International Business", 1997, Organization for Economic Co-operation and Development (OECD)</w:t>
      </w:r>
      <w:r>
        <w:rPr>
          <w:rStyle w:val="tlid-translation"/>
          <w:rFonts w:ascii="Century Gothic" w:hAnsi="Century Gothic"/>
          <w:sz w:val="20"/>
          <w:szCs w:val="20"/>
          <w:lang w:val="en"/>
        </w:rPr>
        <w:t>;</w:t>
      </w:r>
      <w:r w:rsidRPr="007C40AB">
        <w:rPr>
          <w:rFonts w:ascii="Century Gothic" w:hAnsi="Century Gothic"/>
          <w:sz w:val="20"/>
          <w:szCs w:val="20"/>
          <w:lang w:val="en"/>
        </w:rPr>
        <w:br/>
      </w:r>
      <w:r w:rsidRPr="007C40AB">
        <w:rPr>
          <w:rStyle w:val="tlid-translation"/>
          <w:rFonts w:ascii="Century Gothic" w:hAnsi="Century Gothic"/>
          <w:sz w:val="20"/>
          <w:szCs w:val="20"/>
          <w:lang w:val="en"/>
        </w:rPr>
        <w:t>• the “Convention against Corruption”, adopted by Resolution 58/4 of 31 October 2003, United Nations (“United Nations” or “UN”)</w:t>
      </w:r>
      <w:r>
        <w:rPr>
          <w:rStyle w:val="tlid-translation"/>
          <w:rFonts w:ascii="Century Gothic" w:hAnsi="Century Gothic"/>
          <w:sz w:val="20"/>
          <w:szCs w:val="20"/>
          <w:lang w:val="en"/>
        </w:rPr>
        <w:t>;</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Style w:val="tlid-translation"/>
          <w:rFonts w:ascii="Century Gothic" w:hAnsi="Century Gothic"/>
          <w:sz w:val="20"/>
          <w:szCs w:val="20"/>
          <w:lang w:val="en"/>
        </w:rPr>
        <w:t>• "Criminal Law Convention on Corruption" and "Civil Law Convention on Corruption", 1999 Council of Europe</w:t>
      </w:r>
      <w:r>
        <w:rPr>
          <w:rStyle w:val="tlid-translation"/>
          <w:rFonts w:ascii="Century Gothic" w:hAnsi="Century Gothic"/>
          <w:sz w:val="20"/>
          <w:szCs w:val="20"/>
          <w:lang w:val="en"/>
        </w:rPr>
        <w:t>;</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Style w:val="tlid-translation"/>
          <w:rFonts w:ascii="Century Gothic" w:hAnsi="Century Gothic"/>
          <w:sz w:val="20"/>
          <w:szCs w:val="20"/>
          <w:lang w:val="en"/>
        </w:rPr>
        <w:t>• Council Framework Decision 2003/568 / JHA of 22 July 2003 on combating corruption in the private sector, 2003 Council of the European Union</w:t>
      </w:r>
      <w:r w:rsidRPr="007C40AB">
        <w:rPr>
          <w:rFonts w:ascii="Century Gothic" w:hAnsi="Century Gothic"/>
          <w:sz w:val="20"/>
          <w:szCs w:val="20"/>
          <w:lang w:val="en"/>
        </w:rPr>
        <w:br/>
      </w:r>
      <w:r w:rsidRPr="007C40AB">
        <w:rPr>
          <w:rStyle w:val="tlid-translation"/>
          <w:rFonts w:ascii="Century Gothic" w:hAnsi="Century Gothic"/>
          <w:sz w:val="20"/>
          <w:szCs w:val="20"/>
          <w:lang w:val="en"/>
        </w:rPr>
        <w:t>• “Guidelines of the Wolfsberg Corruption Prevention Group”, 2011, Wolfsberg Group</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Style w:val="tlid-translation"/>
          <w:rFonts w:ascii="Century Gothic" w:hAnsi="Century Gothic"/>
          <w:sz w:val="20"/>
          <w:szCs w:val="20"/>
          <w:lang w:val="en"/>
        </w:rPr>
        <w:t>• “Rules of the International Chamber of Commerce on Combating Corruption”, 2011 International Chamber of Commerce (ICC)</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Style w:val="tlid-translation"/>
          <w:rFonts w:ascii="Century Gothic" w:hAnsi="Century Gothic"/>
          <w:sz w:val="20"/>
          <w:szCs w:val="20"/>
          <w:lang w:val="en"/>
        </w:rPr>
        <w:t>• “Business Principles for Combating Bribery, a Multi-stakeholder Initiative Led by Transparency International”, 2013, Transparency International</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Style w:val="tlid-translation"/>
          <w:rFonts w:ascii="Century Gothic" w:hAnsi="Century Gothic"/>
          <w:sz w:val="20"/>
          <w:szCs w:val="20"/>
          <w:lang w:val="en"/>
        </w:rPr>
        <w:t>• “2015-16 G20 Anti-Corruption Implementation Plan”, 2014, G-20</w:t>
      </w:r>
    </w:p>
    <w:p w:rsidR="007C40AB" w:rsidRP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Style w:val="tlid-translation"/>
          <w:rFonts w:ascii="Century Gothic" w:hAnsi="Century Gothic"/>
          <w:sz w:val="20"/>
          <w:szCs w:val="20"/>
          <w:lang w:val="en"/>
        </w:rPr>
        <w:t>• Rules of the Intesa Sanpaolo / PBZ Group</w:t>
      </w:r>
    </w:p>
    <w:p w:rsidR="007C40AB" w:rsidRPr="007C40AB" w:rsidRDefault="007C40AB" w:rsidP="007C40AB">
      <w:pPr>
        <w:autoSpaceDE w:val="0"/>
        <w:autoSpaceDN w:val="0"/>
        <w:adjustRightInd w:val="0"/>
        <w:spacing w:line="240" w:lineRule="auto"/>
        <w:rPr>
          <w:rStyle w:val="tlid-translation"/>
          <w:rFonts w:ascii="Century Gothic" w:hAnsi="Century Gothic"/>
          <w:sz w:val="20"/>
          <w:szCs w:val="20"/>
          <w:lang w:val="en"/>
        </w:rPr>
      </w:pPr>
    </w:p>
    <w:p w:rsidR="007C40AB" w:rsidRPr="007C40AB" w:rsidRDefault="007C40AB" w:rsidP="007C40AB">
      <w:pPr>
        <w:autoSpaceDE w:val="0"/>
        <w:autoSpaceDN w:val="0"/>
        <w:adjustRightInd w:val="0"/>
        <w:spacing w:line="240" w:lineRule="auto"/>
        <w:rPr>
          <w:rStyle w:val="tlid-translation"/>
          <w:rFonts w:ascii="Century Gothic" w:hAnsi="Century Gothic"/>
          <w:b/>
          <w:sz w:val="20"/>
          <w:szCs w:val="20"/>
          <w:lang w:val="en"/>
        </w:rPr>
      </w:pPr>
      <w:r w:rsidRPr="007C40AB">
        <w:rPr>
          <w:rStyle w:val="tlid-translation"/>
          <w:rFonts w:ascii="Century Gothic" w:hAnsi="Century Gothic"/>
          <w:b/>
          <w:sz w:val="20"/>
          <w:szCs w:val="20"/>
          <w:lang w:val="en"/>
        </w:rPr>
        <w:t>NATIONAL LEGISLATION</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Pr>
          <w:rFonts w:ascii="Century Gothic" w:hAnsi="Century Gothic"/>
          <w:sz w:val="20"/>
          <w:szCs w:val="20"/>
          <w:lang w:val="en"/>
        </w:rPr>
        <w:br/>
      </w:r>
      <w:r w:rsidRPr="007C40AB">
        <w:rPr>
          <w:rStyle w:val="tlid-translation"/>
          <w:rFonts w:ascii="Century Gothic" w:hAnsi="Century Gothic"/>
          <w:sz w:val="20"/>
          <w:szCs w:val="20"/>
          <w:lang w:val="en"/>
        </w:rPr>
        <w:t>Regarding domestic legislation, the main regulations are:</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Style w:val="tlid-translation"/>
          <w:rFonts w:ascii="Century Gothic" w:hAnsi="Century Gothic"/>
          <w:sz w:val="20"/>
          <w:szCs w:val="20"/>
          <w:lang w:val="en"/>
        </w:rPr>
        <w:t>• Criminal Code of Bosnia and Herzegovina, Entity Laws and Brcko District Law</w:t>
      </w:r>
      <w:r w:rsidRPr="007C40AB">
        <w:rPr>
          <w:rFonts w:ascii="Century Gothic" w:hAnsi="Century Gothic"/>
          <w:sz w:val="20"/>
          <w:szCs w:val="20"/>
          <w:lang w:val="en"/>
        </w:rPr>
        <w:br/>
      </w:r>
      <w:r w:rsidRPr="007C40AB">
        <w:rPr>
          <w:rStyle w:val="tlid-translation"/>
          <w:rFonts w:ascii="Century Gothic" w:hAnsi="Century Gothic"/>
          <w:sz w:val="20"/>
          <w:szCs w:val="20"/>
          <w:lang w:val="en"/>
        </w:rPr>
        <w:t>• Criminal Procedure Code of Bosnia and Herzegovina, Entity Laws and Brcko District Law</w:t>
      </w:r>
      <w:r w:rsidRPr="007C40AB">
        <w:rPr>
          <w:rFonts w:ascii="Century Gothic" w:hAnsi="Century Gothic"/>
          <w:sz w:val="20"/>
          <w:szCs w:val="20"/>
          <w:lang w:val="en"/>
        </w:rPr>
        <w:br/>
      </w:r>
      <w:r w:rsidRPr="007C40AB">
        <w:rPr>
          <w:rStyle w:val="tlid-translation"/>
          <w:rFonts w:ascii="Century Gothic" w:hAnsi="Century Gothic"/>
          <w:sz w:val="20"/>
          <w:szCs w:val="20"/>
          <w:lang w:val="en"/>
        </w:rPr>
        <w:t>• Law on Prevention of Money Laundering and Financing of Terrorist Activities of Bosnia and Herzegovina</w:t>
      </w:r>
      <w:r w:rsidRPr="007C40AB">
        <w:rPr>
          <w:rFonts w:ascii="Century Gothic" w:hAnsi="Century Gothic"/>
          <w:sz w:val="20"/>
          <w:szCs w:val="20"/>
          <w:lang w:val="en"/>
        </w:rPr>
        <w:br/>
      </w:r>
      <w:r w:rsidRPr="007C40AB">
        <w:rPr>
          <w:rStyle w:val="tlid-translation"/>
          <w:rFonts w:ascii="Century Gothic" w:hAnsi="Century Gothic"/>
          <w:sz w:val="20"/>
          <w:szCs w:val="20"/>
          <w:lang w:val="en"/>
        </w:rPr>
        <w:t>• Freedom of Access to Information Act</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Style w:val="tlid-translation"/>
          <w:rFonts w:ascii="Century Gothic" w:hAnsi="Century Gothic"/>
          <w:sz w:val="20"/>
          <w:szCs w:val="20"/>
          <w:lang w:val="en"/>
        </w:rPr>
        <w:t>• Entity Labor Law</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r w:rsidRPr="007C40AB">
        <w:rPr>
          <w:rStyle w:val="tlid-translation"/>
          <w:rFonts w:ascii="Century Gothic" w:hAnsi="Century Gothic"/>
          <w:sz w:val="20"/>
          <w:szCs w:val="20"/>
          <w:lang w:val="en"/>
        </w:rPr>
        <w:t>• Law on Conflict of Interests in the Institutions of Government of Bosnia and Herzegovina and the Entities</w:t>
      </w:r>
      <w:r w:rsidRPr="007C40AB">
        <w:rPr>
          <w:rFonts w:ascii="Century Gothic" w:hAnsi="Century Gothic"/>
          <w:sz w:val="20"/>
          <w:szCs w:val="20"/>
          <w:lang w:val="en"/>
        </w:rPr>
        <w:br/>
      </w:r>
      <w:r w:rsidRPr="007C40AB">
        <w:rPr>
          <w:rStyle w:val="tlid-translation"/>
          <w:rFonts w:ascii="Century Gothic" w:hAnsi="Century Gothic"/>
          <w:sz w:val="20"/>
          <w:szCs w:val="20"/>
          <w:lang w:val="en"/>
        </w:rPr>
        <w:t>• Law on the Agency for the Prevention of Corruption and Coordination against Corruption</w:t>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hAnsi="Century Gothic"/>
          <w:sz w:val="20"/>
          <w:szCs w:val="20"/>
          <w:lang w:val="en"/>
        </w:rPr>
        <w:br/>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p>
    <w:p w:rsidR="007C40AB" w:rsidRDefault="007C40AB" w:rsidP="007C40AB">
      <w:pPr>
        <w:autoSpaceDE w:val="0"/>
        <w:autoSpaceDN w:val="0"/>
        <w:adjustRightInd w:val="0"/>
        <w:spacing w:line="240" w:lineRule="auto"/>
        <w:rPr>
          <w:rFonts w:ascii="Century Gothic" w:eastAsiaTheme="minorHAnsi" w:hAnsi="Century Gothic" w:cs="CIDFont+F4"/>
          <w:sz w:val="20"/>
          <w:szCs w:val="20"/>
          <w:lang w:val="en-US" w:eastAsia="en-US"/>
        </w:rPr>
      </w:pPr>
      <w:r w:rsidRPr="007C40AB">
        <w:rPr>
          <w:rStyle w:val="tlid-translation"/>
          <w:rFonts w:ascii="Century Gothic" w:hAnsi="Century Gothic"/>
          <w:sz w:val="20"/>
          <w:szCs w:val="20"/>
          <w:lang w:val="en"/>
        </w:rPr>
        <w:lastRenderedPageBreak/>
        <w:t xml:space="preserve">The Bank and the Group members apply the principle of zero tolerance against corruption and prohibit it in any form, direct or indirect, adhering to the values </w:t>
      </w:r>
      <w:r w:rsidRPr="007C40AB">
        <w:rPr>
          <w:rStyle w:val="tlid-translation"/>
          <w:sz w:val="20"/>
          <w:szCs w:val="20"/>
          <w:lang w:val="en"/>
        </w:rPr>
        <w:t>​​</w:t>
      </w:r>
      <w:r w:rsidRPr="007C40AB">
        <w:rPr>
          <w:rStyle w:val="tlid-translation"/>
          <w:rFonts w:ascii="Century Gothic" w:hAnsi="Century Gothic"/>
          <w:sz w:val="20"/>
          <w:szCs w:val="20"/>
          <w:lang w:val="en"/>
        </w:rPr>
        <w:t>of integrity, principles of professionalism, perseverance, diligence, honesty, fairness and responsibility.</w:t>
      </w:r>
      <w:r w:rsidRPr="007C40AB">
        <w:rPr>
          <w:rFonts w:ascii="Century Gothic" w:hAnsi="Century Gothic"/>
          <w:sz w:val="20"/>
          <w:szCs w:val="20"/>
          <w:lang w:val="en"/>
        </w:rPr>
        <w:br/>
      </w:r>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Fonts w:ascii="Century Gothic" w:eastAsiaTheme="minorHAnsi" w:hAnsi="Century Gothic" w:cs="CIDFont+F4"/>
          <w:sz w:val="20"/>
          <w:szCs w:val="20"/>
          <w:lang w:val="en-US" w:eastAsia="en-US"/>
        </w:rPr>
        <w:t>In line with these principles and adhering to the values and restrictions contained in the</w:t>
      </w:r>
      <w:r>
        <w:rPr>
          <w:rFonts w:ascii="Century Gothic" w:eastAsiaTheme="minorHAnsi" w:hAnsi="Century Gothic" w:cs="CIDFont+F4"/>
          <w:sz w:val="20"/>
          <w:szCs w:val="20"/>
          <w:lang w:val="en-US" w:eastAsia="en-US"/>
        </w:rPr>
        <w:t xml:space="preserve"> </w:t>
      </w:r>
      <w:r w:rsidRPr="007C40AB">
        <w:rPr>
          <w:rFonts w:ascii="Century Gothic" w:eastAsiaTheme="minorHAnsi" w:hAnsi="Century Gothic" w:cs="CIDFont+F8"/>
          <w:sz w:val="20"/>
          <w:szCs w:val="20"/>
          <w:lang w:val="en-US" w:eastAsia="en-US"/>
        </w:rPr>
        <w:t xml:space="preserve">Code of Ethics, </w:t>
      </w:r>
      <w:r w:rsidRPr="007C40AB">
        <w:rPr>
          <w:rFonts w:ascii="Century Gothic" w:eastAsiaTheme="minorHAnsi" w:hAnsi="Century Gothic" w:cs="CIDFont+F4"/>
          <w:sz w:val="20"/>
          <w:szCs w:val="20"/>
          <w:lang w:val="en-US" w:eastAsia="en-US"/>
        </w:rPr>
        <w:t>nor the Bank nor any of the PBZ Gro</w:t>
      </w:r>
      <w:r>
        <w:rPr>
          <w:rFonts w:ascii="Century Gothic" w:eastAsiaTheme="minorHAnsi" w:hAnsi="Century Gothic" w:cs="CIDFont+F4"/>
          <w:sz w:val="20"/>
          <w:szCs w:val="20"/>
          <w:lang w:val="en-US" w:eastAsia="en-US"/>
        </w:rPr>
        <w:t xml:space="preserve">up members tolerate any kind of </w:t>
      </w:r>
      <w:r w:rsidRPr="007C40AB">
        <w:rPr>
          <w:rFonts w:ascii="Century Gothic" w:eastAsiaTheme="minorHAnsi" w:hAnsi="Century Gothic" w:cs="CIDFont+F4"/>
          <w:sz w:val="20"/>
          <w:szCs w:val="20"/>
          <w:lang w:val="en-US" w:eastAsia="en-US"/>
        </w:rPr>
        <w:t>corruption, in any way of form, even if such activitie</w:t>
      </w:r>
      <w:r>
        <w:rPr>
          <w:rFonts w:ascii="Century Gothic" w:eastAsiaTheme="minorHAnsi" w:hAnsi="Century Gothic" w:cs="CIDFont+F4"/>
          <w:sz w:val="20"/>
          <w:szCs w:val="20"/>
          <w:lang w:val="en-US" w:eastAsia="en-US"/>
        </w:rPr>
        <w:t xml:space="preserve">s were to be possibly accepted, </w:t>
      </w:r>
      <w:r w:rsidRPr="007C40AB">
        <w:rPr>
          <w:rFonts w:ascii="Century Gothic" w:eastAsiaTheme="minorHAnsi" w:hAnsi="Century Gothic" w:cs="CIDFont+F4"/>
          <w:sz w:val="20"/>
          <w:szCs w:val="20"/>
          <w:lang w:val="en-US" w:eastAsia="en-US"/>
        </w:rPr>
        <w:t>tolerated or not challenged in accordance with the positive regulations of the</w:t>
      </w:r>
      <w:r w:rsidRPr="007C40AB">
        <w:rPr>
          <w:rStyle w:val="tlid-translation"/>
          <w:rFonts w:ascii="Century Gothic" w:hAnsi="Century Gothic"/>
          <w:sz w:val="20"/>
          <w:szCs w:val="20"/>
          <w:lang w:val="en"/>
        </w:rPr>
        <w:t xml:space="preserve"> Bosnia and Herzegovina</w:t>
      </w:r>
    </w:p>
    <w:p w:rsidR="007C40AB" w:rsidRPr="007C40AB" w:rsidRDefault="007C40AB" w:rsidP="007C40AB">
      <w:pPr>
        <w:autoSpaceDE w:val="0"/>
        <w:autoSpaceDN w:val="0"/>
        <w:adjustRightInd w:val="0"/>
        <w:spacing w:line="240" w:lineRule="auto"/>
        <w:rPr>
          <w:rStyle w:val="tlid-translation"/>
          <w:rFonts w:ascii="Century Gothic" w:eastAsiaTheme="minorHAnsi" w:hAnsi="Century Gothic" w:cs="CIDFont+F4"/>
          <w:sz w:val="20"/>
          <w:szCs w:val="20"/>
          <w:lang w:val="en-US" w:eastAsia="en-US"/>
        </w:rPr>
      </w:pPr>
      <w:bookmarkStart w:id="8" w:name="_GoBack"/>
      <w:bookmarkEnd w:id="8"/>
    </w:p>
    <w:p w:rsidR="007C40AB" w:rsidRDefault="007C40AB" w:rsidP="007C40AB">
      <w:pPr>
        <w:autoSpaceDE w:val="0"/>
        <w:autoSpaceDN w:val="0"/>
        <w:adjustRightInd w:val="0"/>
        <w:spacing w:line="240" w:lineRule="auto"/>
        <w:rPr>
          <w:rStyle w:val="tlid-translation"/>
          <w:rFonts w:ascii="Century Gothic" w:hAnsi="Century Gothic"/>
          <w:sz w:val="20"/>
          <w:szCs w:val="20"/>
          <w:lang w:val="en"/>
        </w:rPr>
      </w:pPr>
      <w:r w:rsidRPr="007C40AB">
        <w:rPr>
          <w:rStyle w:val="tlid-translation"/>
          <w:rFonts w:ascii="Century Gothic" w:hAnsi="Century Gothic"/>
          <w:sz w:val="20"/>
          <w:szCs w:val="20"/>
          <w:lang w:val="en"/>
        </w:rPr>
        <w:t>Thus, the costs of gifts and entertainment, charitable donations, sponsorships, relationships with third parties, the purchase, management and disposition of investments, property and real estate, employment are carefully designed, defined and monitored through internal guidelines to unambiguously identify and timely iden</w:t>
      </w:r>
      <w:r>
        <w:rPr>
          <w:rStyle w:val="tlid-translation"/>
          <w:rFonts w:ascii="Century Gothic" w:hAnsi="Century Gothic"/>
          <w:sz w:val="20"/>
          <w:szCs w:val="20"/>
          <w:lang w:val="en"/>
        </w:rPr>
        <w:t>tify potential corruption risks</w:t>
      </w:r>
      <w:r w:rsidRPr="007C40AB">
        <w:rPr>
          <w:rStyle w:val="tlid-translation"/>
          <w:rFonts w:ascii="Century Gothic" w:hAnsi="Century Gothic"/>
          <w:sz w:val="20"/>
          <w:szCs w:val="20"/>
          <w:lang w:val="en"/>
        </w:rPr>
        <w:t>.</w:t>
      </w:r>
    </w:p>
    <w:p w:rsidR="007C40AB" w:rsidRPr="007C40AB" w:rsidRDefault="007C40AB" w:rsidP="007C40AB">
      <w:pPr>
        <w:autoSpaceDE w:val="0"/>
        <w:autoSpaceDN w:val="0"/>
        <w:adjustRightInd w:val="0"/>
        <w:spacing w:line="240" w:lineRule="auto"/>
        <w:rPr>
          <w:rFonts w:ascii="Century Gothic" w:hAnsi="Century Gothic" w:cs="CIDFont+F4"/>
          <w:b/>
          <w:sz w:val="20"/>
          <w:szCs w:val="20"/>
        </w:rPr>
      </w:pPr>
      <w:r w:rsidRPr="007C40AB">
        <w:rPr>
          <w:rFonts w:ascii="Century Gothic" w:hAnsi="Century Gothic"/>
          <w:sz w:val="20"/>
          <w:szCs w:val="20"/>
          <w:lang w:val="en"/>
        </w:rPr>
        <w:br/>
      </w:r>
      <w:r w:rsidRPr="007C40AB">
        <w:rPr>
          <w:rStyle w:val="tlid-translation"/>
          <w:rFonts w:ascii="Century Gothic" w:hAnsi="Century Gothic"/>
          <w:sz w:val="20"/>
          <w:szCs w:val="20"/>
          <w:lang w:val="en"/>
        </w:rPr>
        <w:t>All of the above is contained in an internal act, which as such is not publicly disclosed and is intended solely for internal use, and is applied by all members of the PBZ Group.</w:t>
      </w:r>
      <w:r w:rsidRPr="007C40AB">
        <w:rPr>
          <w:rFonts w:ascii="Century Gothic" w:hAnsi="Century Gothic"/>
          <w:sz w:val="20"/>
          <w:szCs w:val="20"/>
          <w:lang w:val="en"/>
        </w:rPr>
        <w:br/>
      </w:r>
      <w:r w:rsidRPr="007C40AB">
        <w:rPr>
          <w:rFonts w:ascii="Century Gothic" w:hAnsi="Century Gothic"/>
          <w:sz w:val="20"/>
          <w:szCs w:val="20"/>
          <w:lang w:val="en"/>
        </w:rPr>
        <w:br/>
      </w:r>
      <w:r w:rsidRPr="007C40AB">
        <w:rPr>
          <w:rStyle w:val="tlid-translation"/>
          <w:rFonts w:ascii="Century Gothic" w:hAnsi="Century Gothic"/>
          <w:sz w:val="20"/>
          <w:szCs w:val="20"/>
          <w:lang w:val="en"/>
        </w:rPr>
        <w:t>In case of additional que</w:t>
      </w:r>
      <w:r>
        <w:rPr>
          <w:rStyle w:val="tlid-translation"/>
          <w:rFonts w:ascii="Century Gothic" w:hAnsi="Century Gothic"/>
          <w:sz w:val="20"/>
          <w:szCs w:val="20"/>
          <w:lang w:val="en"/>
        </w:rPr>
        <w:t>stions or uncertainties, please</w:t>
      </w:r>
      <w:r w:rsidRPr="007C40AB">
        <w:rPr>
          <w:rStyle w:val="tlid-translation"/>
          <w:rFonts w:ascii="Century Gothic" w:hAnsi="Century Gothic"/>
          <w:sz w:val="20"/>
          <w:szCs w:val="20"/>
          <w:lang w:val="en"/>
        </w:rPr>
        <w:t xml:space="preserve"> contact us by e-mail:</w:t>
      </w:r>
      <w:r w:rsidRPr="007C40AB">
        <w:rPr>
          <w:rFonts w:ascii="Century Gothic" w:hAnsi="Century Gothic"/>
          <w:sz w:val="20"/>
          <w:szCs w:val="20"/>
          <w:lang w:val="en"/>
        </w:rPr>
        <w:br/>
      </w:r>
      <w:r w:rsidRPr="007C40AB">
        <w:rPr>
          <w:rStyle w:val="tlid-translation"/>
          <w:rFonts w:ascii="Century Gothic" w:hAnsi="Century Gothic"/>
          <w:sz w:val="20"/>
          <w:szCs w:val="20"/>
          <w:lang w:val="en"/>
        </w:rPr>
        <w:t>info@intesasanpaolobanka.</w:t>
      </w:r>
    </w:p>
    <w:sectPr w:rsidR="007C40AB" w:rsidRPr="007C40AB">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AB" w:rsidRDefault="007C40AB" w:rsidP="007C40AB">
      <w:pPr>
        <w:spacing w:line="240" w:lineRule="auto"/>
      </w:pPr>
      <w:r>
        <w:separator/>
      </w:r>
    </w:p>
  </w:endnote>
  <w:endnote w:type="continuationSeparator" w:id="0">
    <w:p w:rsidR="007C40AB" w:rsidRDefault="007C40AB" w:rsidP="007C4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IDFont+F3">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CIDFont+F8">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AB" w:rsidRDefault="007C40AB" w:rsidP="007C40AB">
      <w:pPr>
        <w:spacing w:line="240" w:lineRule="auto"/>
      </w:pPr>
      <w:r>
        <w:separator/>
      </w:r>
    </w:p>
  </w:footnote>
  <w:footnote w:type="continuationSeparator" w:id="0">
    <w:p w:rsidR="007C40AB" w:rsidRDefault="007C40AB" w:rsidP="007C40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AB" w:rsidRDefault="007C40AB">
    <w:pPr>
      <w:pStyle w:val="Header"/>
    </w:pPr>
    <w:r>
      <w:rPr>
        <w:noProof/>
        <w:lang w:val="en-US" w:eastAsia="en-US"/>
      </w:rPr>
      <w:drawing>
        <wp:inline distT="0" distB="0" distL="0" distR="0" wp14:anchorId="47245C52" wp14:editId="58F68596">
          <wp:extent cx="2247900" cy="352425"/>
          <wp:effectExtent l="0" t="0" r="0" b="9525"/>
          <wp:docPr id="1" name="Picture 1" descr="cid:image001.png@01D2AC5B.BE79CB20"/>
          <wp:cNvGraphicFramePr/>
          <a:graphic xmlns:a="http://schemas.openxmlformats.org/drawingml/2006/main">
            <a:graphicData uri="http://schemas.openxmlformats.org/drawingml/2006/picture">
              <pic:pic xmlns:pic="http://schemas.openxmlformats.org/drawingml/2006/picture">
                <pic:nvPicPr>
                  <pic:cNvPr id="1" name="Picture 1" descr="cid:image001.png@01D2AC5B.BE79CB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524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D174E"/>
    <w:multiLevelType w:val="hybridMultilevel"/>
    <w:tmpl w:val="21C86A34"/>
    <w:lvl w:ilvl="0" w:tplc="041A0001">
      <w:start w:val="1"/>
      <w:numFmt w:val="bullet"/>
      <w:lvlText w:val=""/>
      <w:lvlJc w:val="left"/>
      <w:pPr>
        <w:ind w:left="1210" w:hanging="360"/>
      </w:pPr>
      <w:rPr>
        <w:rFonts w:ascii="Symbol" w:hAnsi="Symbol"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
    <w:nsid w:val="519F161F"/>
    <w:multiLevelType w:val="hybridMultilevel"/>
    <w:tmpl w:val="33E66B76"/>
    <w:lvl w:ilvl="0" w:tplc="041A0001">
      <w:start w:val="1"/>
      <w:numFmt w:val="bullet"/>
      <w:lvlText w:val=""/>
      <w:lvlJc w:val="left"/>
      <w:pPr>
        <w:ind w:left="1210" w:hanging="360"/>
      </w:pPr>
      <w:rPr>
        <w:rFonts w:ascii="Symbol" w:hAnsi="Symbol"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2">
    <w:nsid w:val="59CF2BEA"/>
    <w:multiLevelType w:val="hybridMultilevel"/>
    <w:tmpl w:val="D1A67D36"/>
    <w:lvl w:ilvl="0" w:tplc="041A0001">
      <w:start w:val="1"/>
      <w:numFmt w:val="bullet"/>
      <w:lvlText w:val=""/>
      <w:lvlJc w:val="left"/>
      <w:pPr>
        <w:ind w:left="1210"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76A739EA"/>
    <w:multiLevelType w:val="hybridMultilevel"/>
    <w:tmpl w:val="EB4ED028"/>
    <w:lvl w:ilvl="0" w:tplc="041A0001">
      <w:start w:val="1"/>
      <w:numFmt w:val="bullet"/>
      <w:lvlText w:val=""/>
      <w:lvlJc w:val="left"/>
      <w:pPr>
        <w:ind w:left="1210" w:hanging="360"/>
      </w:pPr>
      <w:rPr>
        <w:rFonts w:ascii="Symbol" w:hAnsi="Symbol"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AB"/>
    <w:rsid w:val="003B7099"/>
    <w:rsid w:val="007C40AB"/>
    <w:rsid w:val="00F1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D713D3E-1B24-41ED-9069-3173277D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AB"/>
    <w:pPr>
      <w:spacing w:after="0" w:line="360" w:lineRule="auto"/>
      <w:jc w:val="both"/>
    </w:pPr>
    <w:rPr>
      <w:rFonts w:ascii="Arial" w:eastAsia="Times New Roman" w:hAnsi="Arial" w:cs="Arial"/>
      <w:sz w:val="24"/>
      <w:szCs w:val="24"/>
      <w:lang w:val="en-GB" w:eastAsia="it-IT"/>
    </w:rPr>
  </w:style>
  <w:style w:type="paragraph" w:styleId="Heading1">
    <w:name w:val="heading 1"/>
    <w:basedOn w:val="Normal"/>
    <w:next w:val="Normal"/>
    <w:link w:val="Heading1Char"/>
    <w:autoRedefine/>
    <w:qFormat/>
    <w:rsid w:val="007C40AB"/>
    <w:pPr>
      <w:keepNext/>
      <w:spacing w:line="240" w:lineRule="auto"/>
      <w:ind w:right="-1"/>
      <w:contextualSpacing/>
      <w:outlineLvl w:val="0"/>
    </w:pPr>
    <w:rPr>
      <w:rFonts w:ascii="Century Gothic" w:hAnsi="Century Gothic"/>
      <w:b/>
      <w:bCs/>
      <w:caps/>
      <w:sz w:val="20"/>
      <w:szCs w:val="20"/>
      <w:lang w:val="hr-HR"/>
    </w:rPr>
  </w:style>
  <w:style w:type="paragraph" w:styleId="Heading2">
    <w:name w:val="heading 2"/>
    <w:basedOn w:val="Normal"/>
    <w:next w:val="Normal"/>
    <w:link w:val="Heading2Char"/>
    <w:autoRedefine/>
    <w:qFormat/>
    <w:rsid w:val="007C40AB"/>
    <w:pPr>
      <w:keepNext/>
      <w:spacing w:line="240" w:lineRule="auto"/>
      <w:ind w:right="-1"/>
      <w:contextualSpacing/>
      <w:outlineLvl w:val="1"/>
    </w:pPr>
    <w:rPr>
      <w:rFonts w:ascii="Century Gothic" w:hAnsi="Century Gothic"/>
      <w:b/>
      <w:bCs/>
      <w:iCs/>
      <w:smallCaps/>
      <w:kern w:val="32"/>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0AB"/>
    <w:rPr>
      <w:rFonts w:ascii="Century Gothic" w:eastAsia="Times New Roman" w:hAnsi="Century Gothic" w:cs="Arial"/>
      <w:b/>
      <w:bCs/>
      <w:caps/>
      <w:sz w:val="20"/>
      <w:szCs w:val="20"/>
      <w:lang w:val="hr-HR" w:eastAsia="it-IT"/>
    </w:rPr>
  </w:style>
  <w:style w:type="character" w:customStyle="1" w:styleId="Heading2Char">
    <w:name w:val="Heading 2 Char"/>
    <w:basedOn w:val="DefaultParagraphFont"/>
    <w:link w:val="Heading2"/>
    <w:rsid w:val="007C40AB"/>
    <w:rPr>
      <w:rFonts w:ascii="Century Gothic" w:eastAsia="Times New Roman" w:hAnsi="Century Gothic" w:cs="Arial"/>
      <w:b/>
      <w:bCs/>
      <w:iCs/>
      <w:smallCaps/>
      <w:kern w:val="32"/>
      <w:sz w:val="20"/>
      <w:szCs w:val="20"/>
      <w:lang w:val="hr-HR" w:eastAsia="it-IT"/>
    </w:rPr>
  </w:style>
  <w:style w:type="character" w:styleId="Hyperlink">
    <w:name w:val="Hyperlink"/>
    <w:uiPriority w:val="99"/>
    <w:rsid w:val="007C40AB"/>
    <w:rPr>
      <w:rFonts w:ascii="Arial" w:hAnsi="Arial"/>
      <w:color w:val="auto"/>
      <w:sz w:val="20"/>
      <w:u w:val="single"/>
    </w:rPr>
  </w:style>
  <w:style w:type="paragraph" w:styleId="ListParagraph">
    <w:name w:val="List Paragraph"/>
    <w:aliases w:val="Bullets"/>
    <w:basedOn w:val="Normal"/>
    <w:link w:val="ListParagraphChar"/>
    <w:uiPriority w:val="34"/>
    <w:qFormat/>
    <w:rsid w:val="007C40AB"/>
    <w:pPr>
      <w:ind w:left="720"/>
      <w:contextualSpacing/>
    </w:pPr>
    <w:rPr>
      <w:rFonts w:eastAsia="Calibri" w:cs="Times New Roman"/>
      <w:szCs w:val="22"/>
      <w:lang w:eastAsia="en-US"/>
    </w:rPr>
  </w:style>
  <w:style w:type="paragraph" w:customStyle="1" w:styleId="Style24">
    <w:name w:val="Style24"/>
    <w:basedOn w:val="Normal"/>
    <w:uiPriority w:val="99"/>
    <w:rsid w:val="007C40AB"/>
    <w:pPr>
      <w:widowControl w:val="0"/>
      <w:autoSpaceDE w:val="0"/>
      <w:autoSpaceDN w:val="0"/>
      <w:adjustRightInd w:val="0"/>
      <w:spacing w:line="276" w:lineRule="exact"/>
    </w:pPr>
    <w:rPr>
      <w:rFonts w:ascii="Times New Roman" w:hAnsi="Times New Roman" w:cs="Times New Roman"/>
      <w:lang w:val="hr-HR" w:eastAsia="hr-HR"/>
    </w:rPr>
  </w:style>
  <w:style w:type="character" w:customStyle="1" w:styleId="FontStyle45">
    <w:name w:val="Font Style45"/>
    <w:uiPriority w:val="99"/>
    <w:rsid w:val="007C40AB"/>
    <w:rPr>
      <w:rFonts w:ascii="Times New Roman" w:hAnsi="Times New Roman" w:cs="Times New Roman"/>
      <w:sz w:val="22"/>
      <w:szCs w:val="22"/>
    </w:rPr>
  </w:style>
  <w:style w:type="character" w:customStyle="1" w:styleId="ListParagraphChar">
    <w:name w:val="List Paragraph Char"/>
    <w:aliases w:val="Bullets Char"/>
    <w:basedOn w:val="DefaultParagraphFont"/>
    <w:link w:val="ListParagraph"/>
    <w:uiPriority w:val="34"/>
    <w:locked/>
    <w:rsid w:val="007C40AB"/>
    <w:rPr>
      <w:rFonts w:ascii="Arial" w:eastAsia="Calibri" w:hAnsi="Arial" w:cs="Times New Roman"/>
      <w:sz w:val="24"/>
      <w:lang w:val="en-GB"/>
    </w:rPr>
  </w:style>
  <w:style w:type="paragraph" w:styleId="Header">
    <w:name w:val="header"/>
    <w:basedOn w:val="Normal"/>
    <w:link w:val="HeaderChar"/>
    <w:uiPriority w:val="99"/>
    <w:unhideWhenUsed/>
    <w:rsid w:val="007C40AB"/>
    <w:pPr>
      <w:tabs>
        <w:tab w:val="center" w:pos="4703"/>
        <w:tab w:val="right" w:pos="9406"/>
      </w:tabs>
      <w:spacing w:line="240" w:lineRule="auto"/>
    </w:pPr>
  </w:style>
  <w:style w:type="character" w:customStyle="1" w:styleId="HeaderChar">
    <w:name w:val="Header Char"/>
    <w:basedOn w:val="DefaultParagraphFont"/>
    <w:link w:val="Header"/>
    <w:uiPriority w:val="99"/>
    <w:rsid w:val="007C40AB"/>
    <w:rPr>
      <w:rFonts w:ascii="Arial" w:eastAsia="Times New Roman" w:hAnsi="Arial" w:cs="Arial"/>
      <w:sz w:val="24"/>
      <w:szCs w:val="24"/>
      <w:lang w:val="en-GB" w:eastAsia="it-IT"/>
    </w:rPr>
  </w:style>
  <w:style w:type="paragraph" w:styleId="Footer">
    <w:name w:val="footer"/>
    <w:basedOn w:val="Normal"/>
    <w:link w:val="FooterChar"/>
    <w:uiPriority w:val="99"/>
    <w:unhideWhenUsed/>
    <w:rsid w:val="007C40AB"/>
    <w:pPr>
      <w:tabs>
        <w:tab w:val="center" w:pos="4703"/>
        <w:tab w:val="right" w:pos="9406"/>
      </w:tabs>
      <w:spacing w:line="240" w:lineRule="auto"/>
    </w:pPr>
  </w:style>
  <w:style w:type="character" w:customStyle="1" w:styleId="FooterChar">
    <w:name w:val="Footer Char"/>
    <w:basedOn w:val="DefaultParagraphFont"/>
    <w:link w:val="Footer"/>
    <w:uiPriority w:val="99"/>
    <w:rsid w:val="007C40AB"/>
    <w:rPr>
      <w:rFonts w:ascii="Arial" w:eastAsia="Times New Roman" w:hAnsi="Arial" w:cs="Arial"/>
      <w:sz w:val="24"/>
      <w:szCs w:val="24"/>
      <w:lang w:val="en-GB" w:eastAsia="it-IT"/>
    </w:rPr>
  </w:style>
  <w:style w:type="character" w:customStyle="1" w:styleId="tlid-translation">
    <w:name w:val="tlid-translation"/>
    <w:basedOn w:val="DefaultParagraphFont"/>
    <w:rsid w:val="007C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sasanpaolobanka.ba" TargetMode="External"/><Relationship Id="rId3" Type="http://schemas.openxmlformats.org/officeDocument/2006/relationships/settings" Target="settings.xml"/><Relationship Id="rId7" Type="http://schemas.openxmlformats.org/officeDocument/2006/relationships/hyperlink" Target="http://www.apik.ba/zakoni-i-drugi-akti/Zakoni/drugi-vazniji-zakoni/?id=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PBZ d.d.</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Eldin Čehić</dc:creator>
  <cp:keywords/>
  <dc:description/>
  <cp:lastModifiedBy>Eldin Čehić</cp:lastModifiedBy>
  <cp:revision>1</cp:revision>
  <dcterms:created xsi:type="dcterms:W3CDTF">2020-04-17T12:57:00Z</dcterms:created>
  <dcterms:modified xsi:type="dcterms:W3CDTF">2020-04-17T13:34:00Z</dcterms:modified>
</cp:coreProperties>
</file>